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CA96" w14:textId="77777777" w:rsidR="00306E5F" w:rsidRPr="004946F4" w:rsidRDefault="00914CB9" w:rsidP="00DE6028">
      <w:pPr>
        <w:pStyle w:val="Spacerparatopoffirstpage"/>
      </w:pPr>
      <w:r>
        <w:rPr>
          <w:lang w:eastAsia="en-AU"/>
        </w:rPr>
        <w:pict w14:anchorId="5B346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Decorative" style="position:absolute;margin-left:0;margin-top:0;width:595.55pt;height:162.7pt;z-index:-251659776;mso-position-horizontal-relative:page;mso-position-vertical-relative:page" o:allowincell="f">
            <v:imagedata r:id="rId7" o:title="Factsheet Banner 10 Purple 7663"/>
            <w10:wrap anchorx="page" anchory="page"/>
            <w10:anchorlock/>
          </v:shape>
        </w:pict>
      </w:r>
      <w:r w:rsidR="004712B3">
        <w:t xml:space="preserve"> </w:t>
      </w:r>
    </w:p>
    <w:tbl>
      <w:tblPr>
        <w:tblW w:w="0" w:type="auto"/>
        <w:tblLook w:val="04A0" w:firstRow="1" w:lastRow="0" w:firstColumn="1" w:lastColumn="0" w:noHBand="0" w:noVBand="1"/>
      </w:tblPr>
      <w:tblGrid>
        <w:gridCol w:w="10137"/>
      </w:tblGrid>
      <w:tr w:rsidR="00EF36AF" w14:paraId="0FF9E363" w14:textId="77777777" w:rsidTr="00D33E72">
        <w:trPr>
          <w:trHeight w:val="1276"/>
        </w:trPr>
        <w:tc>
          <w:tcPr>
            <w:tcW w:w="10137" w:type="dxa"/>
            <w:shd w:val="clear" w:color="auto" w:fill="auto"/>
            <w:vAlign w:val="bottom"/>
          </w:tcPr>
          <w:p w14:paraId="18019690" w14:textId="67443E79" w:rsidR="004946F4" w:rsidRPr="00161AA0" w:rsidRDefault="00026BF3" w:rsidP="006A18C2">
            <w:pPr>
              <w:pStyle w:val="DHHSmainheading"/>
            </w:pPr>
            <w:r>
              <w:t xml:space="preserve">Previous </w:t>
            </w:r>
            <w:r w:rsidR="000C2A94">
              <w:t xml:space="preserve">Children’s Court orders </w:t>
            </w:r>
          </w:p>
        </w:tc>
      </w:tr>
      <w:tr w:rsidR="005D6597" w14:paraId="72525D49" w14:textId="77777777" w:rsidTr="00DE6028">
        <w:trPr>
          <w:trHeight w:val="494"/>
        </w:trPr>
        <w:tc>
          <w:tcPr>
            <w:tcW w:w="10137" w:type="dxa"/>
            <w:shd w:val="clear" w:color="auto" w:fill="auto"/>
            <w:tcMar>
              <w:top w:w="510" w:type="dxa"/>
            </w:tcMar>
          </w:tcPr>
          <w:p w14:paraId="009514FA" w14:textId="401D9F2B" w:rsidR="005D6597" w:rsidRDefault="005D6597" w:rsidP="004F6936">
            <w:pPr>
              <w:pStyle w:val="DHHSmainsubheading"/>
            </w:pPr>
          </w:p>
        </w:tc>
      </w:tr>
      <w:tr w:rsidR="00CC0C72" w14:paraId="723F68FA" w14:textId="77777777" w:rsidTr="00CC0C72">
        <w:trPr>
          <w:trHeight w:val="227"/>
        </w:trPr>
        <w:tc>
          <w:tcPr>
            <w:tcW w:w="10137" w:type="dxa"/>
            <w:shd w:val="clear" w:color="auto" w:fill="auto"/>
            <w:tcMar>
              <w:top w:w="0" w:type="dxa"/>
            </w:tcMar>
          </w:tcPr>
          <w:p w14:paraId="5CD1A8A3" w14:textId="77777777" w:rsidR="00CC0C72" w:rsidRPr="007D49E9" w:rsidRDefault="00CC0C72" w:rsidP="00CC0C72">
            <w:pPr>
              <w:pStyle w:val="DHHSbody"/>
              <w:rPr>
                <w:sz w:val="16"/>
                <w:szCs w:val="16"/>
              </w:rPr>
            </w:pPr>
          </w:p>
        </w:tc>
      </w:tr>
    </w:tbl>
    <w:p w14:paraId="05AB3104" w14:textId="77777777" w:rsidR="00347BBC" w:rsidRDefault="00347BBC" w:rsidP="00347BBC">
      <w:pPr>
        <w:pStyle w:val="Heading1"/>
      </w:pPr>
      <w:r>
        <w:t>About this fact sheet</w:t>
      </w:r>
    </w:p>
    <w:p w14:paraId="1384130A" w14:textId="3C26F412" w:rsidR="00347BBC" w:rsidRDefault="00347BBC" w:rsidP="00347BBC">
      <w:pPr>
        <w:pStyle w:val="DHHSbody"/>
      </w:pPr>
      <w:r w:rsidRPr="00B776E7">
        <w:t>This fact sheet help</w:t>
      </w:r>
      <w:r w:rsidR="0026220B">
        <w:t>s to</w:t>
      </w:r>
      <w:r w:rsidRPr="00B776E7">
        <w:t xml:space="preserve"> </w:t>
      </w:r>
      <w:r>
        <w:t>explain</w:t>
      </w:r>
      <w:r w:rsidRPr="00B776E7">
        <w:t xml:space="preserve"> </w:t>
      </w:r>
      <w:r w:rsidR="00026BF3">
        <w:t xml:space="preserve">the </w:t>
      </w:r>
      <w:r w:rsidRPr="00B776E7">
        <w:t xml:space="preserve">changes </w:t>
      </w:r>
      <w:r w:rsidR="00026BF3">
        <w:t xml:space="preserve">made </w:t>
      </w:r>
      <w:r w:rsidRPr="00B776E7">
        <w:t>to Children’s Court orders that</w:t>
      </w:r>
      <w:r w:rsidR="00026BF3">
        <w:t xml:space="preserve"> too</w:t>
      </w:r>
      <w:r w:rsidR="000353EA">
        <w:t>k</w:t>
      </w:r>
      <w:r w:rsidR="00026BF3">
        <w:t xml:space="preserve"> effect on </w:t>
      </w:r>
      <w:r w:rsidRPr="00B776E7">
        <w:t xml:space="preserve">1 March 2016. </w:t>
      </w:r>
    </w:p>
    <w:p w14:paraId="4CDB1D08" w14:textId="48496678" w:rsidR="00347BBC" w:rsidRDefault="00347BBC" w:rsidP="00347BBC">
      <w:pPr>
        <w:pStyle w:val="DHHSbody"/>
      </w:pPr>
      <w:r w:rsidRPr="00B776E7">
        <w:t xml:space="preserve">The changes </w:t>
      </w:r>
      <w:r w:rsidR="00026BF3">
        <w:t>were</w:t>
      </w:r>
      <w:r w:rsidRPr="00B776E7">
        <w:t xml:space="preserve"> intended to </w:t>
      </w:r>
      <w:r w:rsidR="007D49E9">
        <w:t>reduce</w:t>
      </w:r>
      <w:r w:rsidRPr="00B776E7">
        <w:t xml:space="preserve"> the time children spend in out-of-home care before permanent </w:t>
      </w:r>
      <w:r>
        <w:t>arrangements are in place for their care</w:t>
      </w:r>
      <w:r w:rsidRPr="00B776E7">
        <w:t xml:space="preserve">. Where possible, this </w:t>
      </w:r>
      <w:r w:rsidR="00D226D1">
        <w:t>is to</w:t>
      </w:r>
      <w:r w:rsidRPr="00B776E7">
        <w:t xml:space="preserve"> be achieved by children returning home safely within</w:t>
      </w:r>
      <w:r>
        <w:t xml:space="preserve"> specified timelines. Where it</w:t>
      </w:r>
      <w:r w:rsidRPr="00B776E7">
        <w:t xml:space="preserve"> is not </w:t>
      </w:r>
      <w:r>
        <w:t>safe for a child to return home permanently</w:t>
      </w:r>
      <w:r w:rsidRPr="00B776E7">
        <w:t>, alternative ongoing care arrangements</w:t>
      </w:r>
      <w:r>
        <w:t xml:space="preserve"> </w:t>
      </w:r>
      <w:r w:rsidR="00D226D1">
        <w:t>are to</w:t>
      </w:r>
      <w:r>
        <w:t xml:space="preserve"> be found</w:t>
      </w:r>
      <w:r w:rsidRPr="00B776E7">
        <w:t>.</w:t>
      </w:r>
    </w:p>
    <w:p w14:paraId="0CF590CE" w14:textId="714166AF" w:rsidR="00347BBC" w:rsidRDefault="0026220B" w:rsidP="00347BBC">
      <w:pPr>
        <w:pStyle w:val="DHHSbody"/>
      </w:pPr>
      <w:r>
        <w:t>It</w:t>
      </w:r>
      <w:r w:rsidR="00347BBC" w:rsidRPr="00B776E7">
        <w:t xml:space="preserve"> is relevant to</w:t>
      </w:r>
      <w:r w:rsidR="00026BF3">
        <w:t xml:space="preserve"> </w:t>
      </w:r>
      <w:r w:rsidR="00D226D1">
        <w:t>understanding</w:t>
      </w:r>
      <w:r w:rsidR="00026BF3">
        <w:t xml:space="preserve"> orders available in Victoria before 1 March 2016</w:t>
      </w:r>
      <w:r w:rsidR="00D226D1">
        <w:t xml:space="preserve"> under the </w:t>
      </w:r>
      <w:r w:rsidR="00D226D1" w:rsidRPr="001B2CE4">
        <w:rPr>
          <w:i/>
          <w:iCs/>
        </w:rPr>
        <w:t>Children, Youth and Families Act</w:t>
      </w:r>
      <w:r w:rsidRPr="001B2CE4">
        <w:rPr>
          <w:i/>
          <w:iCs/>
        </w:rPr>
        <w:t xml:space="preserve"> 2005</w:t>
      </w:r>
      <w:r w:rsidR="00026BF3">
        <w:t>.</w:t>
      </w:r>
    </w:p>
    <w:p w14:paraId="43C0DA98" w14:textId="15152241" w:rsidR="00347BBC" w:rsidRDefault="000C2A94" w:rsidP="00347BBC">
      <w:pPr>
        <w:pStyle w:val="Heading2"/>
      </w:pPr>
      <w:r>
        <w:t>How orders transition</w:t>
      </w:r>
      <w:r w:rsidR="00026BF3">
        <w:t>ed</w:t>
      </w:r>
    </w:p>
    <w:p w14:paraId="588ED60E" w14:textId="6394C5B6" w:rsidR="00347BBC" w:rsidRPr="009B2538" w:rsidRDefault="00347BBC" w:rsidP="00347BBC">
      <w:pPr>
        <w:pStyle w:val="DHHSbody"/>
      </w:pPr>
      <w:r w:rsidRPr="009B2538">
        <w:t xml:space="preserve">On </w:t>
      </w:r>
      <w:r w:rsidR="00026BF3">
        <w:t xml:space="preserve">1 March 2016, orders </w:t>
      </w:r>
      <w:r w:rsidR="003048F0">
        <w:t xml:space="preserve">changed automatically in accordance with the transitional arrangements provided for in the </w:t>
      </w:r>
      <w:r w:rsidR="003048F0">
        <w:rPr>
          <w:i/>
        </w:rPr>
        <w:t>Children, Youth and Families Amendment (Permanent Care and Other Matters) Act 2014</w:t>
      </w:r>
      <w:r w:rsidRPr="009B2538">
        <w:t xml:space="preserve">. </w:t>
      </w:r>
      <w:r w:rsidR="003048F0">
        <w:t xml:space="preserve">Children and families affected at the time were formally informed of the changes to come, well in advance of commencement. </w:t>
      </w:r>
      <w:r w:rsidRPr="009B2538">
        <w:t>The table below shows what change</w:t>
      </w:r>
      <w:r w:rsidR="00026BF3">
        <w:t>d</w:t>
      </w:r>
      <w:r w:rsidRPr="009B2538">
        <w:t>.</w:t>
      </w:r>
    </w:p>
    <w:tbl>
      <w:tblPr>
        <w:tblW w:w="10173" w:type="dxa"/>
        <w:tblBorders>
          <w:insideH w:val="single" w:sz="4" w:space="0" w:color="auto"/>
        </w:tblBorders>
        <w:tblLook w:val="01E0" w:firstRow="1" w:lastRow="1" w:firstColumn="1" w:lastColumn="1" w:noHBand="0" w:noVBand="0"/>
      </w:tblPr>
      <w:tblGrid>
        <w:gridCol w:w="5357"/>
        <w:gridCol w:w="4816"/>
      </w:tblGrid>
      <w:tr w:rsidR="00347BBC" w14:paraId="4DFBE247" w14:textId="77777777" w:rsidTr="00D83DED">
        <w:tc>
          <w:tcPr>
            <w:tcW w:w="10173" w:type="dxa"/>
            <w:gridSpan w:val="2"/>
          </w:tcPr>
          <w:p w14:paraId="7AB6B2F2" w14:textId="722D842B" w:rsidR="00347BBC" w:rsidRDefault="00347BBC" w:rsidP="00D83DED">
            <w:pPr>
              <w:pStyle w:val="DHHStablecolhead"/>
              <w:spacing w:before="120"/>
            </w:pPr>
            <w:r>
              <w:t xml:space="preserve">Orders in place on the day the new laws </w:t>
            </w:r>
            <w:r w:rsidR="003048F0">
              <w:t xml:space="preserve">came </w:t>
            </w:r>
            <w:r>
              <w:t>into effect that change</w:t>
            </w:r>
            <w:r w:rsidR="003048F0">
              <w:t>d</w:t>
            </w:r>
            <w:r>
              <w:t xml:space="preserve"> automatically</w:t>
            </w:r>
          </w:p>
        </w:tc>
      </w:tr>
      <w:tr w:rsidR="00347BBC" w14:paraId="3E073C0A" w14:textId="77777777" w:rsidTr="00D83DED">
        <w:tc>
          <w:tcPr>
            <w:tcW w:w="5357" w:type="dxa"/>
          </w:tcPr>
          <w:p w14:paraId="53249B14" w14:textId="2043F878" w:rsidR="00347BBC" w:rsidRPr="005C2F87" w:rsidRDefault="000353EA" w:rsidP="00D83DED">
            <w:pPr>
              <w:pStyle w:val="DHHStabletext"/>
            </w:pPr>
            <w:r>
              <w:rPr>
                <w:b/>
              </w:rPr>
              <w:t>Previous</w:t>
            </w:r>
            <w:r w:rsidR="00347BBC" w:rsidRPr="005C2F87">
              <w:rPr>
                <w:b/>
              </w:rPr>
              <w:t xml:space="preserve"> order</w:t>
            </w:r>
            <w:r>
              <w:rPr>
                <w:b/>
              </w:rPr>
              <w:t xml:space="preserve"> type</w:t>
            </w:r>
          </w:p>
        </w:tc>
        <w:tc>
          <w:tcPr>
            <w:tcW w:w="4816" w:type="dxa"/>
          </w:tcPr>
          <w:p w14:paraId="3E5E2D93" w14:textId="3C90C967" w:rsidR="00347BBC" w:rsidRPr="005C2F87" w:rsidRDefault="00347BBC" w:rsidP="00D83DED">
            <w:pPr>
              <w:pStyle w:val="DHHStabletext"/>
            </w:pPr>
            <w:r w:rsidRPr="005C2F87">
              <w:rPr>
                <w:b/>
              </w:rPr>
              <w:t>bec</w:t>
            </w:r>
            <w:r w:rsidR="00026BF3">
              <w:rPr>
                <w:b/>
              </w:rPr>
              <w:t>a</w:t>
            </w:r>
            <w:r w:rsidRPr="005C2F87">
              <w:rPr>
                <w:b/>
              </w:rPr>
              <w:t>me</w:t>
            </w:r>
          </w:p>
        </w:tc>
      </w:tr>
      <w:tr w:rsidR="00347BBC" w14:paraId="6A1353AD" w14:textId="77777777" w:rsidTr="00D83DED">
        <w:tc>
          <w:tcPr>
            <w:tcW w:w="5357" w:type="dxa"/>
          </w:tcPr>
          <w:p w14:paraId="36972B18" w14:textId="77777777" w:rsidR="00347BBC" w:rsidRPr="00182C70" w:rsidRDefault="00347BBC" w:rsidP="00D83DED">
            <w:pPr>
              <w:pStyle w:val="DHSTableText"/>
              <w:spacing w:before="60"/>
            </w:pPr>
            <w:r w:rsidRPr="00182C70">
              <w:t>Supervision order</w:t>
            </w:r>
          </w:p>
        </w:tc>
        <w:tc>
          <w:tcPr>
            <w:tcW w:w="4816" w:type="dxa"/>
          </w:tcPr>
          <w:p w14:paraId="605CFAEE" w14:textId="77777777" w:rsidR="00347BBC" w:rsidRPr="00182C70" w:rsidRDefault="00347BBC" w:rsidP="00D83DED">
            <w:pPr>
              <w:pStyle w:val="DHSTableText"/>
              <w:spacing w:before="60"/>
            </w:pPr>
            <w:r w:rsidRPr="00182C70">
              <w:t>Family preservation order</w:t>
            </w:r>
          </w:p>
        </w:tc>
      </w:tr>
      <w:tr w:rsidR="00347BBC" w14:paraId="4E021C02" w14:textId="77777777" w:rsidTr="00D83DED">
        <w:tc>
          <w:tcPr>
            <w:tcW w:w="5357" w:type="dxa"/>
          </w:tcPr>
          <w:p w14:paraId="027DFE2D" w14:textId="77777777" w:rsidR="00347BBC" w:rsidRPr="00182C70" w:rsidRDefault="00347BBC" w:rsidP="00D83DED">
            <w:pPr>
              <w:pStyle w:val="DHSTableText"/>
              <w:spacing w:before="60"/>
            </w:pPr>
            <w:r w:rsidRPr="00182C70">
              <w:t>Supervised custody order</w:t>
            </w:r>
          </w:p>
        </w:tc>
        <w:tc>
          <w:tcPr>
            <w:tcW w:w="4816" w:type="dxa"/>
          </w:tcPr>
          <w:p w14:paraId="368CAE29" w14:textId="77777777" w:rsidR="00347BBC" w:rsidRPr="00182C70" w:rsidRDefault="00347BBC" w:rsidP="00D83DED">
            <w:pPr>
              <w:pStyle w:val="DHSTableText"/>
              <w:spacing w:before="60"/>
            </w:pPr>
            <w:r w:rsidRPr="00182C70">
              <w:t>Family reunification order</w:t>
            </w:r>
          </w:p>
        </w:tc>
      </w:tr>
      <w:tr w:rsidR="00347BBC" w14:paraId="5A70BCCB" w14:textId="77777777" w:rsidTr="00D83DED">
        <w:tc>
          <w:tcPr>
            <w:tcW w:w="5357" w:type="dxa"/>
          </w:tcPr>
          <w:p w14:paraId="41F963A6" w14:textId="77777777" w:rsidR="00347BBC" w:rsidRPr="00182C70" w:rsidRDefault="00347BBC" w:rsidP="00D83DED">
            <w:pPr>
              <w:pStyle w:val="DHSTableText"/>
              <w:spacing w:before="60"/>
            </w:pPr>
            <w:r w:rsidRPr="00182C70">
              <w:t>Custody to Secretary order (in place less than 2 years)</w:t>
            </w:r>
          </w:p>
        </w:tc>
        <w:tc>
          <w:tcPr>
            <w:tcW w:w="4816" w:type="dxa"/>
          </w:tcPr>
          <w:p w14:paraId="1770B8DD" w14:textId="77777777" w:rsidR="00347BBC" w:rsidRPr="00182C70" w:rsidRDefault="00347BBC" w:rsidP="00D83DED">
            <w:pPr>
              <w:pStyle w:val="DHSTableText"/>
              <w:spacing w:before="60"/>
            </w:pPr>
            <w:r w:rsidRPr="00182C70">
              <w:t>Family reunification order</w:t>
            </w:r>
          </w:p>
        </w:tc>
      </w:tr>
      <w:tr w:rsidR="00347BBC" w14:paraId="747177E9" w14:textId="77777777" w:rsidTr="00D83DED">
        <w:tc>
          <w:tcPr>
            <w:tcW w:w="5357" w:type="dxa"/>
          </w:tcPr>
          <w:p w14:paraId="32078EAA" w14:textId="77777777" w:rsidR="00347BBC" w:rsidRPr="00182C70" w:rsidRDefault="00347BBC" w:rsidP="00D83DED">
            <w:pPr>
              <w:pStyle w:val="DHSTableText"/>
              <w:spacing w:before="60"/>
            </w:pPr>
            <w:r w:rsidRPr="00182C70">
              <w:t>Custody to Secretary order (in place 2 years or more)</w:t>
            </w:r>
          </w:p>
        </w:tc>
        <w:tc>
          <w:tcPr>
            <w:tcW w:w="4816" w:type="dxa"/>
          </w:tcPr>
          <w:p w14:paraId="66F8DE35" w14:textId="198B39BB" w:rsidR="00347BBC" w:rsidRPr="005A20B0" w:rsidRDefault="00347BBC" w:rsidP="00D83DED">
            <w:pPr>
              <w:pStyle w:val="DHSTableText"/>
              <w:spacing w:before="60"/>
              <w:rPr>
                <w:lang w:val="en-US"/>
              </w:rPr>
            </w:pPr>
            <w:r w:rsidRPr="005A20B0">
              <w:rPr>
                <w:lang w:val="en-US"/>
              </w:rPr>
              <w:t xml:space="preserve">Care by Secretary order – </w:t>
            </w:r>
            <w:r w:rsidRPr="005A20B0">
              <w:rPr>
                <w:sz w:val="18"/>
                <w:szCs w:val="18"/>
                <w:lang w:val="en-US"/>
              </w:rPr>
              <w:t>conditions lapse</w:t>
            </w:r>
            <w:r w:rsidR="003048F0">
              <w:rPr>
                <w:sz w:val="18"/>
                <w:szCs w:val="18"/>
                <w:lang w:val="en-US"/>
              </w:rPr>
              <w:t>d but were included in the case plan</w:t>
            </w:r>
          </w:p>
        </w:tc>
      </w:tr>
      <w:tr w:rsidR="00347BBC" w14:paraId="3FAA9364" w14:textId="77777777" w:rsidTr="00D83DED">
        <w:tc>
          <w:tcPr>
            <w:tcW w:w="5357" w:type="dxa"/>
          </w:tcPr>
          <w:p w14:paraId="40120B9F" w14:textId="77777777" w:rsidR="00347BBC" w:rsidRPr="00182C70" w:rsidRDefault="00347BBC" w:rsidP="00D83DED">
            <w:pPr>
              <w:pStyle w:val="DHSTableText"/>
              <w:spacing w:before="60"/>
            </w:pPr>
            <w:r w:rsidRPr="00182C70">
              <w:t>Guardianship to Secretary order</w:t>
            </w:r>
          </w:p>
        </w:tc>
        <w:tc>
          <w:tcPr>
            <w:tcW w:w="4816" w:type="dxa"/>
          </w:tcPr>
          <w:p w14:paraId="0F54B4D9" w14:textId="77777777" w:rsidR="00347BBC" w:rsidRPr="00182C70" w:rsidRDefault="00347BBC" w:rsidP="00D83DED">
            <w:pPr>
              <w:pStyle w:val="DHSTableText"/>
              <w:spacing w:before="60"/>
            </w:pPr>
            <w:r w:rsidRPr="00182C70">
              <w:t>Care by Secretary order</w:t>
            </w:r>
          </w:p>
        </w:tc>
      </w:tr>
      <w:tr w:rsidR="00347BBC" w14:paraId="5F43B903" w14:textId="77777777" w:rsidTr="00D83DED">
        <w:tc>
          <w:tcPr>
            <w:tcW w:w="5357" w:type="dxa"/>
          </w:tcPr>
          <w:p w14:paraId="0DE543C4" w14:textId="77777777" w:rsidR="00347BBC" w:rsidRPr="00182C70" w:rsidRDefault="00347BBC" w:rsidP="00D83DED">
            <w:pPr>
              <w:pStyle w:val="DHSTableText"/>
              <w:spacing w:before="60"/>
            </w:pPr>
            <w:r w:rsidRPr="00182C70">
              <w:t>Long-term guardianship to Secretary order</w:t>
            </w:r>
          </w:p>
        </w:tc>
        <w:tc>
          <w:tcPr>
            <w:tcW w:w="4816" w:type="dxa"/>
          </w:tcPr>
          <w:p w14:paraId="2F6560EA" w14:textId="77777777" w:rsidR="00347BBC" w:rsidRPr="00182C70" w:rsidRDefault="00347BBC" w:rsidP="00D83DED">
            <w:pPr>
              <w:pStyle w:val="DHSTableText"/>
              <w:spacing w:before="60"/>
            </w:pPr>
            <w:r w:rsidRPr="00182C70">
              <w:t>Long-term care order</w:t>
            </w:r>
          </w:p>
        </w:tc>
      </w:tr>
      <w:tr w:rsidR="00347BBC" w14:paraId="3E419446" w14:textId="77777777" w:rsidTr="00D83DED">
        <w:trPr>
          <w:trHeight w:val="225"/>
        </w:trPr>
        <w:tc>
          <w:tcPr>
            <w:tcW w:w="10173" w:type="dxa"/>
            <w:gridSpan w:val="2"/>
          </w:tcPr>
          <w:p w14:paraId="441D9749" w14:textId="62DC62A7" w:rsidR="00347BBC" w:rsidRDefault="00347BBC" w:rsidP="00D83DED">
            <w:pPr>
              <w:pStyle w:val="DHHStablecolhead"/>
              <w:spacing w:before="120"/>
              <w:rPr>
                <w:sz w:val="16"/>
                <w:szCs w:val="16"/>
              </w:rPr>
            </w:pPr>
            <w:r w:rsidRPr="00182C70">
              <w:t xml:space="preserve">Orders that </w:t>
            </w:r>
            <w:r w:rsidR="00026BF3">
              <w:t>did</w:t>
            </w:r>
            <w:r w:rsidRPr="00182C70">
              <w:t xml:space="preserve"> </w:t>
            </w:r>
            <w:r w:rsidRPr="005A20B0">
              <w:t>not change</w:t>
            </w:r>
            <w:r w:rsidRPr="00182C70">
              <w:t xml:space="preserve"> on </w:t>
            </w:r>
            <w:r w:rsidR="00026BF3">
              <w:t xml:space="preserve">1 March 2016 </w:t>
            </w:r>
          </w:p>
        </w:tc>
      </w:tr>
      <w:tr w:rsidR="00347BBC" w14:paraId="0181E83F" w14:textId="77777777" w:rsidTr="00D83DED">
        <w:tc>
          <w:tcPr>
            <w:tcW w:w="5357" w:type="dxa"/>
          </w:tcPr>
          <w:p w14:paraId="74E22994" w14:textId="77777777" w:rsidR="00347BBC" w:rsidRPr="005C2F87" w:rsidRDefault="00347BBC" w:rsidP="00D83DED">
            <w:pPr>
              <w:pStyle w:val="DHHStabletext"/>
            </w:pPr>
            <w:r w:rsidRPr="005C2F87">
              <w:rPr>
                <w:b/>
              </w:rPr>
              <w:t>Current order</w:t>
            </w:r>
          </w:p>
        </w:tc>
        <w:tc>
          <w:tcPr>
            <w:tcW w:w="4816" w:type="dxa"/>
          </w:tcPr>
          <w:p w14:paraId="2361FF0A" w14:textId="3BC17B55" w:rsidR="00347BBC" w:rsidRPr="005C2F87" w:rsidRDefault="00347BBC" w:rsidP="00D83DED">
            <w:pPr>
              <w:pStyle w:val="DHHStabletext"/>
            </w:pPr>
            <w:r w:rsidRPr="005C2F87">
              <w:rPr>
                <w:b/>
              </w:rPr>
              <w:t>continue</w:t>
            </w:r>
            <w:r w:rsidR="003048F0">
              <w:rPr>
                <w:b/>
              </w:rPr>
              <w:t>d</w:t>
            </w:r>
          </w:p>
        </w:tc>
      </w:tr>
      <w:tr w:rsidR="00347BBC" w14:paraId="343426D5" w14:textId="77777777" w:rsidTr="00D83DED">
        <w:tc>
          <w:tcPr>
            <w:tcW w:w="5357" w:type="dxa"/>
          </w:tcPr>
          <w:p w14:paraId="6FB7628B" w14:textId="77777777" w:rsidR="00347BBC" w:rsidRPr="00182C70" w:rsidRDefault="00347BBC" w:rsidP="00D83DED">
            <w:pPr>
              <w:pStyle w:val="DHSTableText"/>
              <w:spacing w:before="60"/>
            </w:pPr>
            <w:r w:rsidRPr="00182C70">
              <w:t>Interim protection order</w:t>
            </w:r>
          </w:p>
        </w:tc>
        <w:tc>
          <w:tcPr>
            <w:tcW w:w="4816" w:type="dxa"/>
          </w:tcPr>
          <w:p w14:paraId="694C6E66" w14:textId="08A53D7B" w:rsidR="00347BBC" w:rsidRDefault="00347BBC" w:rsidP="00D83DED">
            <w:pPr>
              <w:pStyle w:val="DHSTableText"/>
              <w:spacing w:before="60"/>
            </w:pPr>
            <w:r>
              <w:t>continue</w:t>
            </w:r>
            <w:r w:rsidR="003048F0">
              <w:t>d</w:t>
            </w:r>
            <w:r>
              <w:t xml:space="preserve"> to hearing date**</w:t>
            </w:r>
            <w:r w:rsidR="00026BF3">
              <w:t xml:space="preserve"> </w:t>
            </w:r>
          </w:p>
        </w:tc>
      </w:tr>
      <w:tr w:rsidR="00347BBC" w14:paraId="34D5E5CA" w14:textId="77777777" w:rsidTr="00D83DED">
        <w:tc>
          <w:tcPr>
            <w:tcW w:w="5357" w:type="dxa"/>
          </w:tcPr>
          <w:p w14:paraId="4FC282CF" w14:textId="77777777" w:rsidR="00347BBC" w:rsidRPr="00182C70" w:rsidRDefault="00347BBC" w:rsidP="00D83DED">
            <w:pPr>
              <w:pStyle w:val="DHSTableText"/>
              <w:spacing w:before="60"/>
            </w:pPr>
            <w:r w:rsidRPr="00182C70">
              <w:t>Undertaking</w:t>
            </w:r>
          </w:p>
        </w:tc>
        <w:tc>
          <w:tcPr>
            <w:tcW w:w="4816" w:type="dxa"/>
          </w:tcPr>
          <w:p w14:paraId="74211956" w14:textId="77777777" w:rsidR="00347BBC" w:rsidRPr="00182C70" w:rsidRDefault="00347BBC" w:rsidP="00D83DED">
            <w:pPr>
              <w:pStyle w:val="DHSTableText"/>
              <w:spacing w:before="60"/>
            </w:pPr>
            <w:r w:rsidRPr="00182C70">
              <w:t xml:space="preserve">not </w:t>
            </w:r>
            <w:r>
              <w:t>affected</w:t>
            </w:r>
          </w:p>
        </w:tc>
      </w:tr>
      <w:tr w:rsidR="00347BBC" w14:paraId="4DBCF71E" w14:textId="77777777" w:rsidTr="00D83DED">
        <w:tc>
          <w:tcPr>
            <w:tcW w:w="5357" w:type="dxa"/>
          </w:tcPr>
          <w:p w14:paraId="0CDD3F71" w14:textId="77777777" w:rsidR="00347BBC" w:rsidRPr="00182C70" w:rsidRDefault="00347BBC" w:rsidP="00D83DED">
            <w:pPr>
              <w:pStyle w:val="DHSTableText"/>
              <w:spacing w:before="60"/>
            </w:pPr>
            <w:r w:rsidRPr="00182C70">
              <w:t>Interim accommodation order</w:t>
            </w:r>
          </w:p>
        </w:tc>
        <w:tc>
          <w:tcPr>
            <w:tcW w:w="4816" w:type="dxa"/>
          </w:tcPr>
          <w:p w14:paraId="1ED7895A" w14:textId="77777777" w:rsidR="00347BBC" w:rsidRPr="00182C70" w:rsidRDefault="00347BBC" w:rsidP="00D83DED">
            <w:pPr>
              <w:pStyle w:val="DHSTableText"/>
              <w:spacing w:before="60"/>
            </w:pPr>
            <w:r>
              <w:t>not affected</w:t>
            </w:r>
          </w:p>
        </w:tc>
      </w:tr>
      <w:tr w:rsidR="00347BBC" w14:paraId="736C8ABB" w14:textId="77777777" w:rsidTr="00D83DED">
        <w:tc>
          <w:tcPr>
            <w:tcW w:w="5357" w:type="dxa"/>
          </w:tcPr>
          <w:p w14:paraId="6561274B" w14:textId="77777777" w:rsidR="00347BBC" w:rsidRPr="00182C70" w:rsidRDefault="00CE63C0" w:rsidP="00D83DED">
            <w:pPr>
              <w:pStyle w:val="DHSTableText"/>
              <w:spacing w:before="60"/>
            </w:pPr>
            <w:r>
              <w:t>P</w:t>
            </w:r>
            <w:r w:rsidR="00347BBC" w:rsidRPr="00182C70">
              <w:t>ermanent care order</w:t>
            </w:r>
          </w:p>
        </w:tc>
        <w:tc>
          <w:tcPr>
            <w:tcW w:w="4816" w:type="dxa"/>
          </w:tcPr>
          <w:p w14:paraId="5B2D4994" w14:textId="463443BE" w:rsidR="00347BBC" w:rsidRPr="00182C70" w:rsidRDefault="00347BBC" w:rsidP="00D83DED">
            <w:pPr>
              <w:pStyle w:val="DHSTableText"/>
              <w:spacing w:before="60"/>
            </w:pPr>
            <w:r>
              <w:t>continue</w:t>
            </w:r>
            <w:r w:rsidR="003048F0">
              <w:t>d</w:t>
            </w:r>
            <w:r>
              <w:rPr>
                <w:rStyle w:val="EndnoteReference"/>
              </w:rPr>
              <w:t>##</w:t>
            </w:r>
          </w:p>
        </w:tc>
      </w:tr>
      <w:tr w:rsidR="00347BBC" w14:paraId="3A751D6E" w14:textId="77777777" w:rsidTr="00D83DED">
        <w:tc>
          <w:tcPr>
            <w:tcW w:w="5357" w:type="dxa"/>
          </w:tcPr>
          <w:p w14:paraId="26130B37" w14:textId="77777777" w:rsidR="00347BBC" w:rsidRPr="00182C70" w:rsidRDefault="00347BBC" w:rsidP="00D83DED">
            <w:pPr>
              <w:pStyle w:val="DHSTableText"/>
              <w:spacing w:before="60"/>
            </w:pPr>
            <w:r w:rsidRPr="00182C70">
              <w:t>Custody to third party order</w:t>
            </w:r>
          </w:p>
        </w:tc>
        <w:tc>
          <w:tcPr>
            <w:tcW w:w="4816" w:type="dxa"/>
          </w:tcPr>
          <w:p w14:paraId="43A20A62" w14:textId="5E17A25E" w:rsidR="00347BBC" w:rsidRPr="00182C70" w:rsidRDefault="00347BBC" w:rsidP="00D83DED">
            <w:pPr>
              <w:pStyle w:val="DHSTableText"/>
              <w:spacing w:before="60"/>
            </w:pPr>
            <w:r>
              <w:t>continue</w:t>
            </w:r>
            <w:r w:rsidR="003048F0">
              <w:t>d</w:t>
            </w:r>
            <w:r>
              <w:t xml:space="preserve"> to end date**</w:t>
            </w:r>
          </w:p>
        </w:tc>
      </w:tr>
    </w:tbl>
    <w:p w14:paraId="39F6D7E8" w14:textId="5ECA4CA1" w:rsidR="00347BBC" w:rsidRDefault="00347BBC" w:rsidP="00347BBC">
      <w:pPr>
        <w:pStyle w:val="DHHStablefigurenote"/>
      </w:pPr>
      <w:r w:rsidRPr="00686423">
        <w:t xml:space="preserve">** These orders </w:t>
      </w:r>
      <w:r w:rsidR="000353EA">
        <w:t>are</w:t>
      </w:r>
      <w:r w:rsidRPr="00686423">
        <w:t xml:space="preserve"> no longer available but orders</w:t>
      </w:r>
      <w:r w:rsidR="000353EA">
        <w:t xml:space="preserve"> in place before 1 March 2016</w:t>
      </w:r>
      <w:r w:rsidRPr="00686423">
        <w:t xml:space="preserve"> </w:t>
      </w:r>
      <w:r w:rsidR="000353EA">
        <w:t>continued until their expiry date</w:t>
      </w:r>
      <w:r w:rsidRPr="00686423">
        <w:t>.</w:t>
      </w:r>
      <w:r>
        <w:br/>
      </w:r>
      <w:r w:rsidRPr="00195965">
        <w:rPr>
          <w:vertAlign w:val="superscript"/>
        </w:rPr>
        <w:t>##</w:t>
      </w:r>
      <w:r w:rsidRPr="00195965">
        <w:t xml:space="preserve"> </w:t>
      </w:r>
      <w:r w:rsidR="003048F0">
        <w:t>existing permanent care order were not affected except that b</w:t>
      </w:r>
      <w:r w:rsidRPr="00686423">
        <w:t xml:space="preserve">irth parents </w:t>
      </w:r>
      <w:r w:rsidR="003048F0">
        <w:t>now</w:t>
      </w:r>
      <w:r w:rsidR="003048F0" w:rsidRPr="00686423">
        <w:t xml:space="preserve"> </w:t>
      </w:r>
      <w:r w:rsidRPr="00686423">
        <w:t xml:space="preserve">need to seek leave of the Court to apply to vary or revoke </w:t>
      </w:r>
      <w:r w:rsidR="003048F0">
        <w:t>the</w:t>
      </w:r>
      <w:r w:rsidRPr="00686423">
        <w:t xml:space="preserve"> order.</w:t>
      </w:r>
    </w:p>
    <w:p w14:paraId="4DC5BC0B" w14:textId="77777777" w:rsidR="00347BBC" w:rsidRPr="00B776E7" w:rsidRDefault="00347BBC" w:rsidP="00347BBC">
      <w:pPr>
        <w:pStyle w:val="DHHSbody"/>
      </w:pPr>
    </w:p>
    <w:p w14:paraId="35CBC6E4" w14:textId="11EA9E0C" w:rsidR="00347BBC" w:rsidRPr="00B776E7" w:rsidRDefault="00347BBC" w:rsidP="00347BBC">
      <w:pPr>
        <w:pStyle w:val="Heading2"/>
      </w:pPr>
      <w:bookmarkStart w:id="0" w:name="_Toc411344756"/>
      <w:r w:rsidRPr="00B776E7">
        <w:t xml:space="preserve">Differences between </w:t>
      </w:r>
      <w:r w:rsidR="000353EA">
        <w:t xml:space="preserve">the previous and </w:t>
      </w:r>
      <w:r w:rsidRPr="00B776E7">
        <w:t>current Children's Court orders</w:t>
      </w:r>
      <w:bookmarkEnd w:id="0"/>
    </w:p>
    <w:tbl>
      <w:tblPr>
        <w:tblW w:w="10568" w:type="dxa"/>
        <w:tblInd w:w="-254" w:type="dxa"/>
        <w:tblLook w:val="00A0" w:firstRow="1" w:lastRow="0" w:firstColumn="1" w:lastColumn="0" w:noHBand="0" w:noVBand="0"/>
      </w:tblPr>
      <w:tblGrid>
        <w:gridCol w:w="4190"/>
        <w:gridCol w:w="1984"/>
        <w:gridCol w:w="4394"/>
      </w:tblGrid>
      <w:tr w:rsidR="00347BBC" w14:paraId="4B014C0E" w14:textId="77777777" w:rsidTr="001B2CE4">
        <w:trPr>
          <w:cantSplit/>
          <w:tblHeader/>
        </w:trPr>
        <w:tc>
          <w:tcPr>
            <w:tcW w:w="4190" w:type="dxa"/>
            <w:tcBorders>
              <w:bottom w:val="single" w:sz="4" w:space="0" w:color="auto"/>
            </w:tcBorders>
          </w:tcPr>
          <w:p w14:paraId="6599EAF3" w14:textId="14DD465C" w:rsidR="00347BBC" w:rsidRPr="00A30E62" w:rsidRDefault="000353EA" w:rsidP="00D83DED">
            <w:pPr>
              <w:pStyle w:val="DHHStablecolhead"/>
            </w:pPr>
            <w:r>
              <w:t>Previous order</w:t>
            </w:r>
            <w:r w:rsidR="00347BBC" w:rsidRPr="00A30E62">
              <w:t xml:space="preserve"> </w:t>
            </w:r>
          </w:p>
        </w:tc>
        <w:tc>
          <w:tcPr>
            <w:tcW w:w="1984" w:type="dxa"/>
            <w:tcBorders>
              <w:bottom w:val="single" w:sz="4" w:space="0" w:color="auto"/>
            </w:tcBorders>
          </w:tcPr>
          <w:p w14:paraId="5CD7491D" w14:textId="07E10161" w:rsidR="00347BBC" w:rsidRPr="00A30E62" w:rsidRDefault="000353EA" w:rsidP="00D83DED">
            <w:pPr>
              <w:pStyle w:val="DHHStablecolhead"/>
            </w:pPr>
            <w:r>
              <w:t xml:space="preserve">Current </w:t>
            </w:r>
            <w:r w:rsidR="00347BBC" w:rsidRPr="00A30E62">
              <w:t>order</w:t>
            </w:r>
          </w:p>
        </w:tc>
        <w:tc>
          <w:tcPr>
            <w:tcW w:w="4394" w:type="dxa"/>
            <w:tcBorders>
              <w:bottom w:val="single" w:sz="4" w:space="0" w:color="auto"/>
            </w:tcBorders>
          </w:tcPr>
          <w:p w14:paraId="4A1CB966" w14:textId="77777777" w:rsidR="00347BBC" w:rsidRPr="00A30E62" w:rsidRDefault="00347BBC" w:rsidP="00D83DED">
            <w:pPr>
              <w:pStyle w:val="DHHStablecolhead"/>
            </w:pPr>
            <w:r w:rsidRPr="00A30E62">
              <w:t>Significant differences</w:t>
            </w:r>
            <w:r w:rsidR="00400F91">
              <w:t xml:space="preserve"> since 1 March 2016</w:t>
            </w:r>
          </w:p>
        </w:tc>
      </w:tr>
      <w:tr w:rsidR="00347BBC" w14:paraId="36A5475B" w14:textId="77777777" w:rsidTr="001B2CE4">
        <w:trPr>
          <w:cantSplit/>
          <w:tblHeader/>
        </w:trPr>
        <w:tc>
          <w:tcPr>
            <w:tcW w:w="4190" w:type="dxa"/>
            <w:tcBorders>
              <w:top w:val="single" w:sz="4" w:space="0" w:color="auto"/>
              <w:bottom w:val="single" w:sz="4" w:space="0" w:color="auto"/>
            </w:tcBorders>
          </w:tcPr>
          <w:p w14:paraId="0BCF924D" w14:textId="77777777" w:rsidR="00347BBC" w:rsidRPr="00195965" w:rsidRDefault="00347BBC" w:rsidP="00D83DED">
            <w:pPr>
              <w:pStyle w:val="DHSTableText"/>
              <w:spacing w:before="60"/>
              <w:rPr>
                <w:b/>
              </w:rPr>
            </w:pPr>
            <w:r w:rsidRPr="00195965">
              <w:rPr>
                <w:b/>
              </w:rPr>
              <w:t xml:space="preserve">Interim </w:t>
            </w:r>
            <w:r>
              <w:rPr>
                <w:b/>
              </w:rPr>
              <w:br/>
            </w:r>
            <w:r w:rsidRPr="00195965">
              <w:rPr>
                <w:b/>
              </w:rPr>
              <w:t>accommodation order</w:t>
            </w:r>
          </w:p>
        </w:tc>
        <w:tc>
          <w:tcPr>
            <w:tcW w:w="1984" w:type="dxa"/>
            <w:tcBorders>
              <w:top w:val="single" w:sz="4" w:space="0" w:color="auto"/>
              <w:bottom w:val="single" w:sz="4" w:space="0" w:color="auto"/>
            </w:tcBorders>
          </w:tcPr>
          <w:p w14:paraId="352C45F3" w14:textId="77777777" w:rsidR="00347BBC" w:rsidRPr="004110BF" w:rsidRDefault="00347BBC" w:rsidP="00D83DED">
            <w:pPr>
              <w:pStyle w:val="DHSTableText"/>
              <w:spacing w:before="60"/>
              <w:rPr>
                <w:b/>
              </w:rPr>
            </w:pPr>
            <w:r w:rsidRPr="004110BF">
              <w:rPr>
                <w:b/>
              </w:rPr>
              <w:t>Interim</w:t>
            </w:r>
            <w:r>
              <w:rPr>
                <w:b/>
              </w:rPr>
              <w:t xml:space="preserve"> a</w:t>
            </w:r>
            <w:r w:rsidRPr="004110BF">
              <w:rPr>
                <w:b/>
              </w:rPr>
              <w:t>ccommodation order</w:t>
            </w:r>
          </w:p>
        </w:tc>
        <w:tc>
          <w:tcPr>
            <w:tcW w:w="4394" w:type="dxa"/>
            <w:tcBorders>
              <w:top w:val="single" w:sz="4" w:space="0" w:color="auto"/>
              <w:bottom w:val="single" w:sz="4" w:space="0" w:color="auto"/>
            </w:tcBorders>
          </w:tcPr>
          <w:p w14:paraId="7E845B08" w14:textId="77777777" w:rsidR="00347BBC" w:rsidRDefault="00347BBC" w:rsidP="00D83DED">
            <w:pPr>
              <w:pStyle w:val="DHSTableText"/>
              <w:spacing w:before="60"/>
            </w:pPr>
            <w:r>
              <w:t>An interim order c</w:t>
            </w:r>
            <w:r w:rsidRPr="00F02C79">
              <w:t xml:space="preserve">annot be made if a final order can be made instead - otherwise </w:t>
            </w:r>
            <w:r>
              <w:t>no difference</w:t>
            </w:r>
            <w:r w:rsidRPr="00F02C79">
              <w:t>.</w:t>
            </w:r>
          </w:p>
        </w:tc>
      </w:tr>
      <w:tr w:rsidR="00347BBC" w14:paraId="604C0AC6" w14:textId="77777777" w:rsidTr="001B2CE4">
        <w:trPr>
          <w:cantSplit/>
          <w:tblHeader/>
        </w:trPr>
        <w:tc>
          <w:tcPr>
            <w:tcW w:w="4190" w:type="dxa"/>
            <w:tcBorders>
              <w:top w:val="single" w:sz="4" w:space="0" w:color="auto"/>
              <w:bottom w:val="single" w:sz="4" w:space="0" w:color="auto"/>
            </w:tcBorders>
          </w:tcPr>
          <w:p w14:paraId="7DAF34DD" w14:textId="77777777" w:rsidR="00347BBC" w:rsidRDefault="00347BBC" w:rsidP="00D83DED">
            <w:pPr>
              <w:pStyle w:val="DHSTableText"/>
              <w:spacing w:before="60"/>
              <w:rPr>
                <w:b/>
              </w:rPr>
            </w:pPr>
            <w:r w:rsidRPr="00195965">
              <w:rPr>
                <w:b/>
              </w:rPr>
              <w:t>Interim protection order</w:t>
            </w:r>
          </w:p>
          <w:p w14:paraId="458BF513" w14:textId="77777777" w:rsidR="00400F91" w:rsidRPr="00195965" w:rsidRDefault="001D2B54" w:rsidP="00D83DED">
            <w:pPr>
              <w:pStyle w:val="DHSTableText"/>
              <w:spacing w:before="60"/>
              <w:rPr>
                <w:b/>
              </w:rPr>
            </w:pPr>
            <w:r w:rsidRPr="001B2CE4">
              <w:t>Pr</w:t>
            </w:r>
            <w:r>
              <w:t xml:space="preserve">otection order – could be made for up to 3 months, included conditions, could not be extended. </w:t>
            </w:r>
          </w:p>
        </w:tc>
        <w:tc>
          <w:tcPr>
            <w:tcW w:w="1984" w:type="dxa"/>
            <w:tcBorders>
              <w:top w:val="single" w:sz="4" w:space="0" w:color="auto"/>
              <w:bottom w:val="single" w:sz="4" w:space="0" w:color="auto"/>
            </w:tcBorders>
          </w:tcPr>
          <w:p w14:paraId="2545BE3C" w14:textId="77777777" w:rsidR="00347BBC" w:rsidRPr="004110BF" w:rsidRDefault="00347BBC" w:rsidP="00D83DED">
            <w:pPr>
              <w:pStyle w:val="DHSTableText"/>
              <w:spacing w:before="60"/>
              <w:rPr>
                <w:b/>
              </w:rPr>
            </w:pPr>
            <w:r w:rsidRPr="004110BF">
              <w:rPr>
                <w:b/>
              </w:rPr>
              <w:t>No equivalent</w:t>
            </w:r>
          </w:p>
        </w:tc>
        <w:tc>
          <w:tcPr>
            <w:tcW w:w="4394" w:type="dxa"/>
            <w:tcBorders>
              <w:top w:val="single" w:sz="4" w:space="0" w:color="auto"/>
              <w:bottom w:val="single" w:sz="4" w:space="0" w:color="auto"/>
            </w:tcBorders>
          </w:tcPr>
          <w:p w14:paraId="2E85DBBF" w14:textId="76157EEB" w:rsidR="00347BBC" w:rsidRDefault="000353EA" w:rsidP="00D83DED">
            <w:pPr>
              <w:pStyle w:val="DHSTableText"/>
              <w:spacing w:before="60"/>
            </w:pPr>
            <w:r>
              <w:t>O</w:t>
            </w:r>
            <w:r w:rsidR="00347BBC" w:rsidRPr="00F02C79">
              <w:t>rders</w:t>
            </w:r>
            <w:r w:rsidR="00FB4CF4">
              <w:t xml:space="preserve"> in place at commencement</w:t>
            </w:r>
            <w:r w:rsidR="00347BBC" w:rsidRPr="00F02C79">
              <w:t xml:space="preserve"> </w:t>
            </w:r>
            <w:r w:rsidR="00347BBC">
              <w:t>continue</w:t>
            </w:r>
            <w:r>
              <w:t>d until their expiry date</w:t>
            </w:r>
            <w:r w:rsidR="00347BBC" w:rsidRPr="00F02C79">
              <w:t>.</w:t>
            </w:r>
          </w:p>
        </w:tc>
      </w:tr>
      <w:tr w:rsidR="00347BBC" w14:paraId="4B52F6BF" w14:textId="77777777" w:rsidTr="001B2CE4">
        <w:trPr>
          <w:cantSplit/>
          <w:tblHeader/>
        </w:trPr>
        <w:tc>
          <w:tcPr>
            <w:tcW w:w="4190" w:type="dxa"/>
            <w:tcBorders>
              <w:top w:val="single" w:sz="4" w:space="0" w:color="auto"/>
              <w:bottom w:val="single" w:sz="4" w:space="0" w:color="auto"/>
            </w:tcBorders>
          </w:tcPr>
          <w:p w14:paraId="60462658" w14:textId="77777777" w:rsidR="00347BBC" w:rsidRPr="00E332C8" w:rsidRDefault="00347BBC" w:rsidP="00D83DED">
            <w:pPr>
              <w:pStyle w:val="DHSTableText"/>
              <w:spacing w:before="60"/>
            </w:pPr>
            <w:r w:rsidRPr="00195965">
              <w:rPr>
                <w:b/>
              </w:rPr>
              <w:t>Undertaking</w:t>
            </w:r>
            <w:r w:rsidRPr="00E332C8">
              <w:t>*</w:t>
            </w:r>
          </w:p>
        </w:tc>
        <w:tc>
          <w:tcPr>
            <w:tcW w:w="1984" w:type="dxa"/>
            <w:tcBorders>
              <w:top w:val="single" w:sz="4" w:space="0" w:color="auto"/>
              <w:bottom w:val="single" w:sz="4" w:space="0" w:color="auto"/>
            </w:tcBorders>
          </w:tcPr>
          <w:p w14:paraId="7E39E4B1" w14:textId="77777777" w:rsidR="00347BBC" w:rsidRPr="004110BF" w:rsidRDefault="00347BBC" w:rsidP="00D83DED">
            <w:pPr>
              <w:pStyle w:val="DHSTableText"/>
              <w:spacing w:before="60"/>
              <w:rPr>
                <w:b/>
              </w:rPr>
            </w:pPr>
            <w:r w:rsidRPr="004110BF">
              <w:rPr>
                <w:b/>
              </w:rPr>
              <w:t>Undertaking</w:t>
            </w:r>
          </w:p>
        </w:tc>
        <w:tc>
          <w:tcPr>
            <w:tcW w:w="4394" w:type="dxa"/>
            <w:tcBorders>
              <w:top w:val="single" w:sz="4" w:space="0" w:color="auto"/>
              <w:bottom w:val="single" w:sz="4" w:space="0" w:color="auto"/>
            </w:tcBorders>
          </w:tcPr>
          <w:p w14:paraId="0E075BA1" w14:textId="77777777" w:rsidR="00347BBC" w:rsidRPr="00F02C79" w:rsidRDefault="00347BBC" w:rsidP="00D83DED">
            <w:pPr>
              <w:pStyle w:val="DHSTableText"/>
              <w:spacing w:before="60"/>
            </w:pPr>
            <w:r w:rsidRPr="00F02C79">
              <w:t>No difference.</w:t>
            </w:r>
          </w:p>
        </w:tc>
      </w:tr>
      <w:tr w:rsidR="00347BBC" w14:paraId="0B0D0B26" w14:textId="77777777" w:rsidTr="001B2CE4">
        <w:trPr>
          <w:cantSplit/>
          <w:tblHeader/>
        </w:trPr>
        <w:tc>
          <w:tcPr>
            <w:tcW w:w="4190" w:type="dxa"/>
            <w:tcBorders>
              <w:top w:val="single" w:sz="4" w:space="0" w:color="auto"/>
              <w:bottom w:val="single" w:sz="4" w:space="0" w:color="auto"/>
            </w:tcBorders>
          </w:tcPr>
          <w:p w14:paraId="48D0CD43" w14:textId="77777777" w:rsidR="00347BBC" w:rsidRDefault="00347BBC" w:rsidP="00D83DED">
            <w:pPr>
              <w:pStyle w:val="DHSTableText"/>
              <w:spacing w:before="60"/>
              <w:rPr>
                <w:b/>
              </w:rPr>
            </w:pPr>
            <w:r w:rsidRPr="00195965">
              <w:rPr>
                <w:b/>
              </w:rPr>
              <w:t>Supervision order</w:t>
            </w:r>
          </w:p>
          <w:p w14:paraId="0D5F4EF2" w14:textId="1AA2AD4B" w:rsidR="001D2B54" w:rsidRPr="00195965" w:rsidRDefault="001D2B54" w:rsidP="00D83DED">
            <w:pPr>
              <w:pStyle w:val="DHSTableText"/>
              <w:spacing w:before="60"/>
              <w:rPr>
                <w:b/>
              </w:rPr>
            </w:pPr>
            <w:r w:rsidRPr="001B2CE4">
              <w:t>Did not affect custody or guardianship of child</w:t>
            </w:r>
            <w:r>
              <w:t xml:space="preserve"> (</w:t>
            </w:r>
            <w:r w:rsidR="00914CB9">
              <w:t>i.e.</w:t>
            </w:r>
            <w:r>
              <w:t xml:space="preserve"> parental responsibility).  Did not limit conditions to those supporting family preservation.</w:t>
            </w:r>
          </w:p>
        </w:tc>
        <w:tc>
          <w:tcPr>
            <w:tcW w:w="1984" w:type="dxa"/>
            <w:tcBorders>
              <w:top w:val="single" w:sz="4" w:space="0" w:color="auto"/>
              <w:bottom w:val="single" w:sz="4" w:space="0" w:color="auto"/>
            </w:tcBorders>
          </w:tcPr>
          <w:p w14:paraId="1C6457F5" w14:textId="77777777" w:rsidR="00347BBC" w:rsidRPr="004110BF" w:rsidRDefault="00347BBC" w:rsidP="00D83DED">
            <w:pPr>
              <w:pStyle w:val="DHSTableText"/>
              <w:spacing w:before="60"/>
              <w:rPr>
                <w:b/>
              </w:rPr>
            </w:pPr>
            <w:r w:rsidRPr="004110BF">
              <w:rPr>
                <w:b/>
              </w:rPr>
              <w:t>Family preservation order</w:t>
            </w:r>
          </w:p>
        </w:tc>
        <w:tc>
          <w:tcPr>
            <w:tcW w:w="4394" w:type="dxa"/>
            <w:tcBorders>
              <w:top w:val="single" w:sz="4" w:space="0" w:color="auto"/>
              <w:bottom w:val="single" w:sz="4" w:space="0" w:color="auto"/>
            </w:tcBorders>
          </w:tcPr>
          <w:p w14:paraId="508F14C4" w14:textId="5937AA12" w:rsidR="001D2B54" w:rsidRDefault="001D2B54" w:rsidP="00D83DED">
            <w:pPr>
              <w:pStyle w:val="DHSTableText"/>
              <w:spacing w:before="60"/>
            </w:pPr>
            <w:r>
              <w:t>Like</w:t>
            </w:r>
            <w:r w:rsidR="00347BBC" w:rsidRPr="00F02C79">
              <w:t xml:space="preserve"> a supervision order</w:t>
            </w:r>
            <w:r>
              <w:t>, t</w:t>
            </w:r>
            <w:r w:rsidRPr="00F02C79">
              <w:t xml:space="preserve">his order aims to keep a </w:t>
            </w:r>
            <w:r>
              <w:t>child at home safely, t</w:t>
            </w:r>
            <w:r w:rsidR="00FB4CF4">
              <w:t>he</w:t>
            </w:r>
            <w:r w:rsidR="00FB4CF4" w:rsidRPr="00F02C79">
              <w:t xml:space="preserve"> </w:t>
            </w:r>
            <w:r w:rsidR="00347BBC" w:rsidRPr="00F02C79">
              <w:t>child live</w:t>
            </w:r>
            <w:r w:rsidR="000353EA">
              <w:t>s</w:t>
            </w:r>
            <w:r w:rsidR="00347BBC" w:rsidRPr="00F02C79">
              <w:t xml:space="preserve"> with one or both parents</w:t>
            </w:r>
            <w:r w:rsidR="00FB4CF4">
              <w:t>,</w:t>
            </w:r>
            <w:r w:rsidR="00347BBC" w:rsidRPr="00F02C79">
              <w:t xml:space="preserve"> and </w:t>
            </w:r>
            <w:r w:rsidR="00347BBC">
              <w:t>parents</w:t>
            </w:r>
            <w:r w:rsidR="00347BBC" w:rsidRPr="00F02C79">
              <w:t xml:space="preserve"> have </w:t>
            </w:r>
            <w:r w:rsidR="00FB4CF4">
              <w:t xml:space="preserve">full </w:t>
            </w:r>
            <w:r w:rsidR="00347BBC" w:rsidRPr="00F02C79">
              <w:t>parental responsibility for the child.</w:t>
            </w:r>
            <w:r w:rsidR="00FB4CF4">
              <w:t xml:space="preserve"> </w:t>
            </w:r>
          </w:p>
          <w:p w14:paraId="1C1C76FA" w14:textId="77777777" w:rsidR="00347BBC" w:rsidRDefault="00FB4CF4" w:rsidP="00D83DED">
            <w:pPr>
              <w:pStyle w:val="DHSTableText"/>
              <w:spacing w:before="60"/>
            </w:pPr>
            <w:r>
              <w:t xml:space="preserve">May include conditions </w:t>
            </w:r>
            <w:r w:rsidRPr="00FB4CF4">
              <w:t>to support family preservation</w:t>
            </w:r>
            <w:r>
              <w:t>.</w:t>
            </w:r>
          </w:p>
        </w:tc>
      </w:tr>
      <w:tr w:rsidR="00347BBC" w14:paraId="595A61CF" w14:textId="77777777" w:rsidTr="001B2CE4">
        <w:trPr>
          <w:cantSplit/>
          <w:tblHeader/>
        </w:trPr>
        <w:tc>
          <w:tcPr>
            <w:tcW w:w="4190" w:type="dxa"/>
            <w:tcBorders>
              <w:top w:val="single" w:sz="4" w:space="0" w:color="auto"/>
              <w:bottom w:val="single" w:sz="4" w:space="0" w:color="auto"/>
            </w:tcBorders>
          </w:tcPr>
          <w:p w14:paraId="0E71585F" w14:textId="77777777" w:rsidR="00347BBC" w:rsidRDefault="00347BBC" w:rsidP="00D83DED">
            <w:pPr>
              <w:pStyle w:val="DHSTableText"/>
              <w:spacing w:before="60"/>
            </w:pPr>
            <w:r w:rsidRPr="00195965">
              <w:rPr>
                <w:b/>
              </w:rPr>
              <w:t>Custody to third party order</w:t>
            </w:r>
            <w:r w:rsidRPr="00E332C8">
              <w:t>*</w:t>
            </w:r>
          </w:p>
          <w:p w14:paraId="2D57E464" w14:textId="77777777" w:rsidR="001D2B54" w:rsidRPr="00E332C8" w:rsidRDefault="00525BE8" w:rsidP="00CC1C79">
            <w:pPr>
              <w:pStyle w:val="DHSTableText"/>
              <w:spacing w:before="60"/>
            </w:pPr>
            <w:r>
              <w:t xml:space="preserve">Gave custody of </w:t>
            </w:r>
            <w:r w:rsidR="001D2B54">
              <w:t xml:space="preserve">the child </w:t>
            </w:r>
            <w:r>
              <w:t>to</w:t>
            </w:r>
            <w:r w:rsidR="001D2B54">
              <w:t xml:space="preserve"> another person</w:t>
            </w:r>
            <w:r>
              <w:t xml:space="preserve"> for up to 12 months</w:t>
            </w:r>
            <w:r w:rsidR="001D2B54">
              <w:t xml:space="preserve">, with a view to </w:t>
            </w:r>
            <w:r>
              <w:t xml:space="preserve">child </w:t>
            </w:r>
            <w:r w:rsidR="001D2B54">
              <w:t>returning to parents during the order.</w:t>
            </w:r>
            <w:r w:rsidR="008766CF">
              <w:t xml:space="preserve"> Could include conditions.</w:t>
            </w:r>
            <w:r w:rsidR="001D2B54">
              <w:t xml:space="preserve"> Child Protection </w:t>
            </w:r>
            <w:r w:rsidR="008766CF">
              <w:t>had no role,</w:t>
            </w:r>
            <w:r w:rsidR="001D2B54">
              <w:t xml:space="preserve"> and the order could not be extended. Very few were made.</w:t>
            </w:r>
          </w:p>
        </w:tc>
        <w:tc>
          <w:tcPr>
            <w:tcW w:w="1984" w:type="dxa"/>
            <w:tcBorders>
              <w:top w:val="single" w:sz="4" w:space="0" w:color="auto"/>
              <w:bottom w:val="single" w:sz="4" w:space="0" w:color="auto"/>
            </w:tcBorders>
          </w:tcPr>
          <w:p w14:paraId="1FE1ACCB" w14:textId="77777777" w:rsidR="00347BBC" w:rsidRPr="004110BF" w:rsidRDefault="00347BBC" w:rsidP="00D83DED">
            <w:pPr>
              <w:pStyle w:val="DHSTableText"/>
              <w:spacing w:before="60"/>
              <w:rPr>
                <w:b/>
              </w:rPr>
            </w:pPr>
            <w:r w:rsidRPr="004110BF">
              <w:rPr>
                <w:b/>
              </w:rPr>
              <w:t xml:space="preserve">No equivalent </w:t>
            </w:r>
          </w:p>
        </w:tc>
        <w:tc>
          <w:tcPr>
            <w:tcW w:w="4394" w:type="dxa"/>
            <w:tcBorders>
              <w:top w:val="single" w:sz="4" w:space="0" w:color="auto"/>
              <w:bottom w:val="single" w:sz="4" w:space="0" w:color="auto"/>
            </w:tcBorders>
          </w:tcPr>
          <w:p w14:paraId="2FAEA0C5" w14:textId="0D5B49C1" w:rsidR="00347BBC" w:rsidRDefault="000353EA" w:rsidP="00D83DED">
            <w:pPr>
              <w:pStyle w:val="DHSTableText"/>
              <w:spacing w:before="60"/>
            </w:pPr>
            <w:r>
              <w:t>O</w:t>
            </w:r>
            <w:r w:rsidR="00347BBC" w:rsidRPr="00F02C79">
              <w:t>rders</w:t>
            </w:r>
            <w:r>
              <w:t xml:space="preserve"> in place before 1 March 2016 </w:t>
            </w:r>
            <w:r w:rsidR="00347BBC">
              <w:t>continue</w:t>
            </w:r>
            <w:r>
              <w:t>d</w:t>
            </w:r>
            <w:r w:rsidR="00347BBC">
              <w:t xml:space="preserve"> until</w:t>
            </w:r>
            <w:r w:rsidR="00347BBC" w:rsidRPr="00F02C79">
              <w:t xml:space="preserve"> their end date. </w:t>
            </w:r>
            <w:r w:rsidR="001D2B54">
              <w:t>Now</w:t>
            </w:r>
            <w:r w:rsidR="00347BBC" w:rsidRPr="00F02C79">
              <w:t xml:space="preserve">, a family reunification order would be </w:t>
            </w:r>
            <w:r w:rsidR="001D2B54">
              <w:t>a suitable alternative</w:t>
            </w:r>
            <w:r w:rsidR="00347BBC" w:rsidRPr="00F02C79">
              <w:t>.</w:t>
            </w:r>
          </w:p>
        </w:tc>
      </w:tr>
      <w:tr w:rsidR="00347BBC" w14:paraId="1A07527A" w14:textId="77777777" w:rsidTr="001B2CE4">
        <w:trPr>
          <w:cantSplit/>
          <w:tblHeader/>
        </w:trPr>
        <w:tc>
          <w:tcPr>
            <w:tcW w:w="4190" w:type="dxa"/>
            <w:tcBorders>
              <w:top w:val="single" w:sz="4" w:space="0" w:color="auto"/>
              <w:bottom w:val="single" w:sz="4" w:space="0" w:color="auto"/>
            </w:tcBorders>
          </w:tcPr>
          <w:p w14:paraId="7B671D89" w14:textId="77777777" w:rsidR="00347BBC" w:rsidRDefault="00347BBC" w:rsidP="00D83DED">
            <w:pPr>
              <w:pStyle w:val="DHSTableText"/>
              <w:spacing w:before="60"/>
              <w:rPr>
                <w:b/>
              </w:rPr>
            </w:pPr>
            <w:r w:rsidRPr="00195965">
              <w:rPr>
                <w:b/>
              </w:rPr>
              <w:t>Supervised custody order</w:t>
            </w:r>
          </w:p>
          <w:p w14:paraId="147338B1" w14:textId="022917EE" w:rsidR="00525BE8" w:rsidRDefault="00525BE8" w:rsidP="00D83DED">
            <w:pPr>
              <w:pStyle w:val="DHSTableText"/>
              <w:spacing w:before="60"/>
              <w:rPr>
                <w:b/>
              </w:rPr>
            </w:pPr>
            <w:r>
              <w:t xml:space="preserve">Gave custody of the child to another person </w:t>
            </w:r>
            <w:r w:rsidR="008766CF">
              <w:t>for up to 2 years, to be supervised by Child Protection. Could include conditions. Intended to enable reunification, could be extended every two years, need to change placement required return to court.</w:t>
            </w:r>
          </w:p>
          <w:p w14:paraId="23529B98" w14:textId="7D87BC61" w:rsidR="001D2B54" w:rsidRDefault="00347BBC" w:rsidP="00D83DED">
            <w:pPr>
              <w:pStyle w:val="DHSTableText"/>
              <w:spacing w:before="60"/>
            </w:pPr>
            <w:r w:rsidRPr="00195965">
              <w:rPr>
                <w:b/>
              </w:rPr>
              <w:t>Custody to Secretary order</w:t>
            </w:r>
            <w:r w:rsidRPr="00E332C8">
              <w:t xml:space="preserve"> </w:t>
            </w:r>
          </w:p>
          <w:p w14:paraId="3327E006" w14:textId="77777777" w:rsidR="008766CF" w:rsidRDefault="00525BE8" w:rsidP="00D83DED">
            <w:pPr>
              <w:pStyle w:val="DHSTableText"/>
              <w:spacing w:before="60"/>
            </w:pPr>
            <w:r>
              <w:t xml:space="preserve">Gave custody of the child to Child Protection </w:t>
            </w:r>
            <w:r w:rsidR="008766CF">
              <w:t>without affecting</w:t>
            </w:r>
            <w:r>
              <w:t xml:space="preserve"> guardians</w:t>
            </w:r>
            <w:r w:rsidR="008766CF">
              <w:t>hip</w:t>
            </w:r>
            <w:r>
              <w:t xml:space="preserve">. Could be made for up to two years. </w:t>
            </w:r>
            <w:r w:rsidR="008766CF">
              <w:t>Could include conditions. I</w:t>
            </w:r>
            <w:r>
              <w:t>ntended to enable reunification</w:t>
            </w:r>
            <w:r w:rsidR="008766CF">
              <w:t xml:space="preserve">. Could be extended </w:t>
            </w:r>
            <w:r>
              <w:t xml:space="preserve">every two years. </w:t>
            </w:r>
          </w:p>
          <w:p w14:paraId="1BCA1CCD" w14:textId="77777777" w:rsidR="008766CF" w:rsidRDefault="00CC1C79" w:rsidP="00D83DED">
            <w:pPr>
              <w:pStyle w:val="DHSTableText"/>
              <w:spacing w:before="60"/>
            </w:pPr>
            <w:r>
              <w:t>Children could live with parents, or in any type of care, including with long-term carers.</w:t>
            </w:r>
          </w:p>
          <w:p w14:paraId="33BF970D" w14:textId="1B4B19C9" w:rsidR="00347BBC" w:rsidRDefault="001D2B54" w:rsidP="00D83DED">
            <w:pPr>
              <w:pStyle w:val="DHSTableText"/>
              <w:spacing w:before="60"/>
            </w:pPr>
            <w:r>
              <w:t xml:space="preserve">(aligns with family reunification order </w:t>
            </w:r>
            <w:r w:rsidR="00347BBC" w:rsidRPr="00E332C8">
              <w:t xml:space="preserve">where a child </w:t>
            </w:r>
            <w:r w:rsidR="000353EA">
              <w:t>ha</w:t>
            </w:r>
            <w:r w:rsidR="00FB4CF4">
              <w:t>d</w:t>
            </w:r>
            <w:r w:rsidR="00347BBC" w:rsidRPr="00E332C8">
              <w:t xml:space="preserve"> been in</w:t>
            </w:r>
            <w:r w:rsidR="00347BBC">
              <w:t xml:space="preserve"> </w:t>
            </w:r>
            <w:r w:rsidR="00347BBC" w:rsidRPr="00E332C8">
              <w:t>out-of-home care for less than two years</w:t>
            </w:r>
            <w:r w:rsidR="00347BBC" w:rsidRPr="00E332C8">
              <w:rPr>
                <w:vertAlign w:val="superscript"/>
              </w:rPr>
              <w:t>#</w:t>
            </w:r>
            <w:r w:rsidR="00347BBC" w:rsidRPr="00E332C8">
              <w:t xml:space="preserve"> and family reunification </w:t>
            </w:r>
            <w:r w:rsidR="000353EA">
              <w:t>was</w:t>
            </w:r>
            <w:r w:rsidR="00347BBC" w:rsidRPr="00E332C8">
              <w:t xml:space="preserve"> planned.</w:t>
            </w:r>
            <w:r>
              <w:t>)</w:t>
            </w:r>
          </w:p>
        </w:tc>
        <w:tc>
          <w:tcPr>
            <w:tcW w:w="1984" w:type="dxa"/>
            <w:tcBorders>
              <w:top w:val="single" w:sz="4" w:space="0" w:color="auto"/>
              <w:bottom w:val="single" w:sz="4" w:space="0" w:color="auto"/>
            </w:tcBorders>
          </w:tcPr>
          <w:p w14:paraId="58129880" w14:textId="77777777" w:rsidR="00347BBC" w:rsidRPr="004110BF" w:rsidRDefault="00347BBC" w:rsidP="00D83DED">
            <w:pPr>
              <w:pStyle w:val="DHSTableText"/>
              <w:spacing w:before="60"/>
              <w:rPr>
                <w:b/>
              </w:rPr>
            </w:pPr>
            <w:r w:rsidRPr="004110BF">
              <w:rPr>
                <w:b/>
              </w:rPr>
              <w:t>Family reunification order</w:t>
            </w:r>
          </w:p>
        </w:tc>
        <w:tc>
          <w:tcPr>
            <w:tcW w:w="4394" w:type="dxa"/>
            <w:tcBorders>
              <w:top w:val="single" w:sz="4" w:space="0" w:color="auto"/>
              <w:bottom w:val="single" w:sz="4" w:space="0" w:color="auto"/>
            </w:tcBorders>
          </w:tcPr>
          <w:p w14:paraId="5C714AFA" w14:textId="67586D49" w:rsidR="00347BBC" w:rsidRDefault="00347BBC" w:rsidP="00D83DED">
            <w:pPr>
              <w:pStyle w:val="DHSTableText"/>
              <w:spacing w:before="60"/>
            </w:pPr>
            <w:r w:rsidRPr="00F02C79">
              <w:t xml:space="preserve">The aim of this order </w:t>
            </w:r>
            <w:r w:rsidR="000353EA">
              <w:t>is</w:t>
            </w:r>
            <w:r w:rsidRPr="00F02C79">
              <w:t xml:space="preserve"> to have children living back with their parents before they have been in out-of-home care for 12 months or </w:t>
            </w:r>
            <w:r w:rsidR="001D2B54">
              <w:t>(</w:t>
            </w:r>
            <w:r w:rsidR="00FB4CF4">
              <w:t>where there is compelling evidence of progress</w:t>
            </w:r>
            <w:r w:rsidR="001D2B54">
              <w:t xml:space="preserve">) </w:t>
            </w:r>
            <w:r w:rsidR="00DD2DFF">
              <w:t>two years</w:t>
            </w:r>
            <w:r w:rsidR="00CC1C79" w:rsidRPr="00E332C8">
              <w:rPr>
                <w:vertAlign w:val="superscript"/>
              </w:rPr>
              <w:t>#</w:t>
            </w:r>
            <w:r w:rsidR="001D2B54">
              <w:t>.</w:t>
            </w:r>
          </w:p>
          <w:p w14:paraId="015648EB" w14:textId="3E7B85BC" w:rsidR="00DD2DFF" w:rsidRDefault="00DD2DFF" w:rsidP="00D83DED">
            <w:pPr>
              <w:pStyle w:val="DHSTableText"/>
              <w:spacing w:before="60"/>
            </w:pPr>
            <w:r>
              <w:t xml:space="preserve">The department </w:t>
            </w:r>
            <w:r w:rsidR="000353EA">
              <w:t>has</w:t>
            </w:r>
            <w:r>
              <w:t xml:space="preserve"> parental responsibility for the child but parents’ agreement </w:t>
            </w:r>
            <w:r w:rsidR="000353EA">
              <w:t>is</w:t>
            </w:r>
            <w:r>
              <w:t xml:space="preserve"> needed about major long-term issues.</w:t>
            </w:r>
          </w:p>
          <w:p w14:paraId="663808A8" w14:textId="77777777" w:rsidR="00400F91" w:rsidRDefault="00400F91" w:rsidP="00D83DED">
            <w:pPr>
              <w:pStyle w:val="DHSTableText"/>
              <w:spacing w:before="60"/>
            </w:pPr>
            <w:r>
              <w:t xml:space="preserve">May include conditions </w:t>
            </w:r>
            <w:r w:rsidRPr="00FB4CF4">
              <w:t xml:space="preserve">to support family </w:t>
            </w:r>
            <w:r>
              <w:t>reunification.</w:t>
            </w:r>
          </w:p>
          <w:p w14:paraId="0EB0F219" w14:textId="77777777" w:rsidR="00400F91" w:rsidRDefault="00347BBC" w:rsidP="00D83DED">
            <w:pPr>
              <w:pStyle w:val="DHSTableText"/>
              <w:spacing w:before="60"/>
            </w:pPr>
            <w:r w:rsidRPr="00F02C79">
              <w:t>If a child returns home, the order can become a family preservation order</w:t>
            </w:r>
            <w:r w:rsidR="00FB4CF4">
              <w:t xml:space="preserve"> without return to court</w:t>
            </w:r>
            <w:r w:rsidRPr="00F02C79">
              <w:t xml:space="preserve">. </w:t>
            </w:r>
          </w:p>
          <w:p w14:paraId="35445896" w14:textId="0BDB81F3" w:rsidR="00347BBC" w:rsidRDefault="00347BBC" w:rsidP="00D83DED">
            <w:pPr>
              <w:pStyle w:val="DHSTableText"/>
              <w:spacing w:before="60"/>
            </w:pPr>
            <w:r w:rsidRPr="00F02C79">
              <w:t xml:space="preserve">Where a child has been in out-of-home care for more than two years, this order </w:t>
            </w:r>
            <w:r w:rsidR="000353EA">
              <w:t>is</w:t>
            </w:r>
            <w:r w:rsidRPr="00F02C79">
              <w:t xml:space="preserve"> not </w:t>
            </w:r>
            <w:r w:rsidR="00FB4CF4">
              <w:t>available to the court</w:t>
            </w:r>
            <w:r w:rsidRPr="00F02C79">
              <w:t>.</w:t>
            </w:r>
            <w:r>
              <w:t xml:space="preserve"> </w:t>
            </w:r>
          </w:p>
        </w:tc>
      </w:tr>
      <w:tr w:rsidR="00347BBC" w14:paraId="0DBD6B8B" w14:textId="77777777" w:rsidTr="001B2CE4">
        <w:trPr>
          <w:cantSplit/>
          <w:tblHeader/>
        </w:trPr>
        <w:tc>
          <w:tcPr>
            <w:tcW w:w="4190" w:type="dxa"/>
            <w:tcBorders>
              <w:top w:val="single" w:sz="4" w:space="0" w:color="auto"/>
            </w:tcBorders>
          </w:tcPr>
          <w:p w14:paraId="25F3DFF3" w14:textId="440DF149" w:rsidR="001D2B54" w:rsidRDefault="00347BBC" w:rsidP="00D83DED">
            <w:pPr>
              <w:pStyle w:val="DHSTableText"/>
              <w:spacing w:before="60"/>
            </w:pPr>
            <w:r>
              <w:rPr>
                <w:b/>
              </w:rPr>
              <w:lastRenderedPageBreak/>
              <w:t>Custody to Secretary order</w:t>
            </w:r>
            <w:r w:rsidR="001D2B54">
              <w:t xml:space="preserve"> </w:t>
            </w:r>
          </w:p>
          <w:p w14:paraId="17E327A6" w14:textId="77777777" w:rsidR="001D2B54" w:rsidRDefault="001D2B54" w:rsidP="00D83DED">
            <w:pPr>
              <w:pStyle w:val="DHSTableText"/>
              <w:spacing w:before="60"/>
            </w:pPr>
            <w:r>
              <w:t xml:space="preserve">See above </w:t>
            </w:r>
          </w:p>
          <w:p w14:paraId="0074D1E4" w14:textId="015E2FD5" w:rsidR="00347BBC" w:rsidRDefault="001D2B54" w:rsidP="00D83DED">
            <w:pPr>
              <w:pStyle w:val="DHSTableText"/>
              <w:spacing w:before="60"/>
            </w:pPr>
            <w:r>
              <w:t xml:space="preserve">(aligns with care by Secretary order </w:t>
            </w:r>
            <w:r w:rsidR="00347BBC" w:rsidRPr="00E332C8">
              <w:t>where a child ha</w:t>
            </w:r>
            <w:r w:rsidR="000353EA">
              <w:t>d</w:t>
            </w:r>
            <w:r w:rsidR="00347BBC" w:rsidRPr="00E332C8">
              <w:t xml:space="preserve"> been in</w:t>
            </w:r>
            <w:r w:rsidR="00347BBC">
              <w:t xml:space="preserve"> </w:t>
            </w:r>
            <w:r w:rsidR="00347BBC" w:rsidRPr="00E332C8">
              <w:t>out-of-home care for two years or more</w:t>
            </w:r>
            <w:r w:rsidR="000C2A94" w:rsidRPr="00E332C8">
              <w:rPr>
                <w:vertAlign w:val="superscript"/>
              </w:rPr>
              <w:t>#</w:t>
            </w:r>
            <w:r w:rsidR="00347BBC" w:rsidRPr="00E332C8">
              <w:t xml:space="preserve">, or ongoing alternative care </w:t>
            </w:r>
            <w:r w:rsidR="000353EA">
              <w:t>was</w:t>
            </w:r>
            <w:r w:rsidR="00347BBC" w:rsidRPr="00E332C8">
              <w:t xml:space="preserve"> planned</w:t>
            </w:r>
            <w:r w:rsidR="00347BBC">
              <w:t>.</w:t>
            </w:r>
            <w:r>
              <w:t>)</w:t>
            </w:r>
          </w:p>
          <w:p w14:paraId="1CA4CF5A" w14:textId="77777777" w:rsidR="00347BBC" w:rsidRDefault="00347BBC" w:rsidP="00D83DED">
            <w:pPr>
              <w:pStyle w:val="DHSTableText"/>
              <w:spacing w:before="60"/>
              <w:rPr>
                <w:b/>
              </w:rPr>
            </w:pPr>
            <w:r w:rsidRPr="003F1D2F">
              <w:rPr>
                <w:b/>
              </w:rPr>
              <w:t>Guardianship to Secretary order</w:t>
            </w:r>
          </w:p>
          <w:p w14:paraId="79B37A06" w14:textId="77777777" w:rsidR="00A53F14" w:rsidRDefault="00A53F14" w:rsidP="00D83DED">
            <w:pPr>
              <w:pStyle w:val="DHSTableText"/>
              <w:spacing w:before="60"/>
            </w:pPr>
            <w:r>
              <w:t>Gave</w:t>
            </w:r>
            <w:r w:rsidRPr="00996898">
              <w:t xml:space="preserve"> custody and guardianship to </w:t>
            </w:r>
            <w:r>
              <w:t>Child Protection</w:t>
            </w:r>
            <w:r w:rsidRPr="00996898">
              <w:t xml:space="preserve"> to the exclusion of all others</w:t>
            </w:r>
            <w:r>
              <w:t xml:space="preserve"> for up to 2 years and could be extended. </w:t>
            </w:r>
            <w:r w:rsidRPr="001B2CE4">
              <w:t>Could not include conditions</w:t>
            </w:r>
            <w:r>
              <w:t xml:space="preserve">. Suitable where reunification had not </w:t>
            </w:r>
            <w:r w:rsidR="00CC1C79">
              <w:t>succeeded,</w:t>
            </w:r>
            <w:r>
              <w:t xml:space="preserve"> and permanent care was planned.</w:t>
            </w:r>
          </w:p>
          <w:p w14:paraId="755D24B6" w14:textId="77777777" w:rsidR="00CC1C79" w:rsidRDefault="00CC1C79" w:rsidP="00CC1C79">
            <w:pPr>
              <w:pStyle w:val="DHSTableText"/>
              <w:spacing w:before="60"/>
            </w:pPr>
            <w:r>
              <w:t>Children could live with parents, or in any type of care, including with long-term carers.</w:t>
            </w:r>
          </w:p>
          <w:p w14:paraId="11564B56" w14:textId="77777777" w:rsidR="00CC1C79" w:rsidRPr="001B2CE4" w:rsidRDefault="00CC1C79" w:rsidP="00D83DED">
            <w:pPr>
              <w:pStyle w:val="DHSTableText"/>
              <w:spacing w:before="60"/>
            </w:pPr>
          </w:p>
        </w:tc>
        <w:tc>
          <w:tcPr>
            <w:tcW w:w="1984" w:type="dxa"/>
            <w:tcBorders>
              <w:top w:val="single" w:sz="4" w:space="0" w:color="auto"/>
            </w:tcBorders>
          </w:tcPr>
          <w:p w14:paraId="3694E767" w14:textId="77777777" w:rsidR="00347BBC" w:rsidRPr="004110BF" w:rsidRDefault="00347BBC" w:rsidP="00D83DED">
            <w:pPr>
              <w:pStyle w:val="DHSTableText"/>
              <w:spacing w:before="60"/>
            </w:pPr>
            <w:r w:rsidRPr="0008635A">
              <w:rPr>
                <w:b/>
              </w:rPr>
              <w:t>Care by Secretary order</w:t>
            </w:r>
          </w:p>
        </w:tc>
        <w:tc>
          <w:tcPr>
            <w:tcW w:w="4394" w:type="dxa"/>
            <w:tcBorders>
              <w:top w:val="single" w:sz="4" w:space="0" w:color="auto"/>
            </w:tcBorders>
          </w:tcPr>
          <w:p w14:paraId="097E2700" w14:textId="4896780C" w:rsidR="00DD2DFF" w:rsidRDefault="00347BBC" w:rsidP="00D83DED">
            <w:pPr>
              <w:pStyle w:val="DHSTableText"/>
              <w:spacing w:before="60"/>
            </w:pPr>
            <w:r>
              <w:t>The aim of this</w:t>
            </w:r>
            <w:r w:rsidR="000353EA">
              <w:t xml:space="preserve"> </w:t>
            </w:r>
            <w:r>
              <w:t xml:space="preserve">order </w:t>
            </w:r>
            <w:r w:rsidR="000353EA">
              <w:t>is</w:t>
            </w:r>
            <w:r>
              <w:t xml:space="preserve"> to find a permanent or long-term carer for the child, preferably with extended family, or if not, with another family</w:t>
            </w:r>
            <w:r w:rsidR="00DD2DFF">
              <w:t>, except in exceptional circumstances</w:t>
            </w:r>
            <w:r>
              <w:t xml:space="preserve">. </w:t>
            </w:r>
          </w:p>
          <w:p w14:paraId="47AAD08A" w14:textId="39ED9EE8" w:rsidR="00347BBC" w:rsidRDefault="00347BBC" w:rsidP="00D83DED">
            <w:pPr>
              <w:pStyle w:val="DHSTableText"/>
              <w:spacing w:before="60"/>
            </w:pPr>
            <w:r>
              <w:t xml:space="preserve">The order </w:t>
            </w:r>
            <w:r w:rsidR="00400F91">
              <w:t>is</w:t>
            </w:r>
            <w:r>
              <w:t xml:space="preserve"> made for two years and can only be extended if a permanent care order or a long-term care order is not appropriate, or if exceptional circumstances exist.</w:t>
            </w:r>
          </w:p>
          <w:p w14:paraId="7F0F180B" w14:textId="3AC559C1" w:rsidR="00400F91" w:rsidRDefault="00347BBC" w:rsidP="00D83DED">
            <w:pPr>
              <w:pStyle w:val="DHSTableText"/>
              <w:spacing w:before="60"/>
            </w:pPr>
            <w:r>
              <w:t xml:space="preserve">Like </w:t>
            </w:r>
            <w:r w:rsidR="000353EA">
              <w:t>the former</w:t>
            </w:r>
            <w:r>
              <w:t xml:space="preserve"> guardianship to Secretary order, this order </w:t>
            </w:r>
            <w:r w:rsidR="000353EA">
              <w:t>does</w:t>
            </w:r>
            <w:r>
              <w:t xml:space="preserve"> not include conditions, and the department </w:t>
            </w:r>
            <w:r w:rsidR="000353EA">
              <w:t>has</w:t>
            </w:r>
            <w:r>
              <w:t xml:space="preserve"> </w:t>
            </w:r>
            <w:r w:rsidR="007D49E9" w:rsidRPr="00E332C8">
              <w:t>parental responsibility for the child</w:t>
            </w:r>
            <w:r w:rsidR="007D49E9">
              <w:t xml:space="preserve"> to the exclusion of all others</w:t>
            </w:r>
            <w:r w:rsidR="00DD2DFF">
              <w:t>.</w:t>
            </w:r>
          </w:p>
          <w:p w14:paraId="011A5D01" w14:textId="77777777" w:rsidR="00400F91" w:rsidRDefault="00400F91" w:rsidP="00400F91">
            <w:pPr>
              <w:pStyle w:val="DHSTableText"/>
              <w:spacing w:before="60"/>
            </w:pPr>
            <w:r w:rsidRPr="00F02C79">
              <w:t>If a child returns home, the order can become a family preservation order</w:t>
            </w:r>
            <w:r>
              <w:t xml:space="preserve"> without return to court</w:t>
            </w:r>
            <w:r w:rsidRPr="00F02C79">
              <w:t xml:space="preserve">. </w:t>
            </w:r>
          </w:p>
          <w:p w14:paraId="6B6E9E57" w14:textId="77777777" w:rsidR="00347BBC" w:rsidRPr="00F02C79" w:rsidRDefault="00347BBC" w:rsidP="00D83DED">
            <w:pPr>
              <w:pStyle w:val="DHSTableText"/>
              <w:spacing w:before="60"/>
            </w:pPr>
            <w:r>
              <w:t xml:space="preserve"> </w:t>
            </w:r>
          </w:p>
        </w:tc>
      </w:tr>
      <w:tr w:rsidR="00347BBC" w14:paraId="5279518E" w14:textId="77777777" w:rsidTr="001B2CE4">
        <w:trPr>
          <w:cantSplit/>
          <w:tblHeader/>
        </w:trPr>
        <w:tc>
          <w:tcPr>
            <w:tcW w:w="4190" w:type="dxa"/>
            <w:tcBorders>
              <w:top w:val="single" w:sz="4" w:space="0" w:color="auto"/>
            </w:tcBorders>
          </w:tcPr>
          <w:p w14:paraId="36D35CC8" w14:textId="77777777" w:rsidR="00347BBC" w:rsidRDefault="00347BBC" w:rsidP="00D83DED">
            <w:pPr>
              <w:pStyle w:val="DHSTableText"/>
              <w:spacing w:before="60"/>
              <w:rPr>
                <w:b/>
              </w:rPr>
            </w:pPr>
            <w:r w:rsidRPr="00195965">
              <w:rPr>
                <w:b/>
              </w:rPr>
              <w:t>Permanent care order</w:t>
            </w:r>
          </w:p>
          <w:p w14:paraId="659B41B7" w14:textId="77777777" w:rsidR="00A53F14" w:rsidRPr="001B2CE4" w:rsidRDefault="00A53F14" w:rsidP="00D83DED">
            <w:pPr>
              <w:pStyle w:val="DHSTableText"/>
              <w:spacing w:before="60"/>
            </w:pPr>
            <w:r>
              <w:t xml:space="preserve">Gave </w:t>
            </w:r>
            <w:r w:rsidRPr="00996898">
              <w:t xml:space="preserve">custody and guardianship to </w:t>
            </w:r>
            <w:r>
              <w:t>permanent carers</w:t>
            </w:r>
            <w:r w:rsidRPr="00996898">
              <w:t xml:space="preserve"> to the exclusion of all others</w:t>
            </w:r>
            <w:r>
              <w:t>. Similar to current except: no standard condition to preserve identity and connection; no limit on or guidance about conditions; siblings unable to apply to vary; n</w:t>
            </w:r>
            <w:r w:rsidR="00400F91" w:rsidRPr="001B2CE4">
              <w:t>o limitation on applications by parents to revoke or vary</w:t>
            </w:r>
            <w:r>
              <w:t>; new protection application required if permanent carers died.</w:t>
            </w:r>
          </w:p>
        </w:tc>
        <w:tc>
          <w:tcPr>
            <w:tcW w:w="1984" w:type="dxa"/>
            <w:tcBorders>
              <w:top w:val="single" w:sz="4" w:space="0" w:color="auto"/>
            </w:tcBorders>
          </w:tcPr>
          <w:p w14:paraId="1034FA40" w14:textId="77777777" w:rsidR="00347BBC" w:rsidRPr="0008635A" w:rsidRDefault="00347BBC" w:rsidP="00D83DED">
            <w:pPr>
              <w:pStyle w:val="DHSTableText"/>
              <w:spacing w:before="60"/>
              <w:rPr>
                <w:b/>
              </w:rPr>
            </w:pPr>
            <w:r w:rsidRPr="00195965">
              <w:rPr>
                <w:b/>
              </w:rPr>
              <w:t>Permanent care order</w:t>
            </w:r>
          </w:p>
        </w:tc>
        <w:tc>
          <w:tcPr>
            <w:tcW w:w="4394" w:type="dxa"/>
            <w:tcBorders>
              <w:top w:val="single" w:sz="4" w:space="0" w:color="auto"/>
            </w:tcBorders>
          </w:tcPr>
          <w:p w14:paraId="5B712AE3" w14:textId="1445F20E" w:rsidR="00347BBC" w:rsidRPr="00E332C8" w:rsidRDefault="00CE63C0" w:rsidP="00347BBC">
            <w:pPr>
              <w:pStyle w:val="DHSTableText"/>
              <w:spacing w:before="60"/>
            </w:pPr>
            <w:r>
              <w:t>Permanent care</w:t>
            </w:r>
            <w:r w:rsidR="00DD2DFF">
              <w:t xml:space="preserve">r parents </w:t>
            </w:r>
            <w:r w:rsidR="000353EA">
              <w:t>are</w:t>
            </w:r>
            <w:r w:rsidR="00DD2DFF">
              <w:t xml:space="preserve"> </w:t>
            </w:r>
            <w:r w:rsidR="00A53F14">
              <w:t xml:space="preserve">now </w:t>
            </w:r>
            <w:r w:rsidR="00DD2DFF">
              <w:t xml:space="preserve">required </w:t>
            </w:r>
            <w:r>
              <w:t>to preserve the child’s identity, connection to culture and relationships with their birth family</w:t>
            </w:r>
            <w:r w:rsidR="00A53F14">
              <w:t xml:space="preserve"> unless court orders otherwise.</w:t>
            </w:r>
            <w:r>
              <w:t xml:space="preserve"> W</w:t>
            </w:r>
            <w:r w:rsidR="00347BBC" w:rsidRPr="00E332C8">
              <w:t>hen one of these orders is first made</w:t>
            </w:r>
            <w:r w:rsidR="00347BBC">
              <w:t xml:space="preserve">, </w:t>
            </w:r>
            <w:r w:rsidR="00DD2DFF">
              <w:t>court-ordered contact</w:t>
            </w:r>
            <w:r w:rsidR="00347BBC" w:rsidRPr="00E332C8">
              <w:t xml:space="preserve"> between a child and their birth parents </w:t>
            </w:r>
            <w:r w:rsidR="000353EA">
              <w:t>is</w:t>
            </w:r>
            <w:r w:rsidR="00347BBC" w:rsidRPr="00E332C8">
              <w:t xml:space="preserve"> limited to four per year. More contact may be arranged by agreement. The child’s birth parents need to seek the leave of the Court to apply to vary or revoke the order.</w:t>
            </w:r>
            <w:r w:rsidR="00DD2DFF">
              <w:t xml:space="preserve"> Siblings </w:t>
            </w:r>
            <w:r w:rsidR="000353EA">
              <w:t>can</w:t>
            </w:r>
            <w:r w:rsidR="00DD2DFF">
              <w:t xml:space="preserve"> apply to vary.</w:t>
            </w:r>
            <w:r w:rsidR="00CC1C79">
              <w:t xml:space="preserve"> Permanent carer confirmed as being the parents of the child.</w:t>
            </w:r>
          </w:p>
          <w:p w14:paraId="1F8724CD" w14:textId="170981E9" w:rsidR="00347BBC" w:rsidRDefault="00347BBC" w:rsidP="00347BBC">
            <w:pPr>
              <w:pStyle w:val="DHSTableText"/>
              <w:spacing w:before="60"/>
            </w:pPr>
            <w:r w:rsidRPr="00E332C8">
              <w:t xml:space="preserve">Like </w:t>
            </w:r>
            <w:r w:rsidR="000353EA">
              <w:t>the former</w:t>
            </w:r>
            <w:r w:rsidRPr="00E332C8">
              <w:t xml:space="preserve"> permanent care orders, this order continue</w:t>
            </w:r>
            <w:r w:rsidR="000353EA">
              <w:t>s</w:t>
            </w:r>
            <w:r w:rsidRPr="00E332C8">
              <w:t xml:space="preserve"> until the child’s 18th birthday</w:t>
            </w:r>
            <w:r w:rsidR="00400F91">
              <w:t>, and p</w:t>
            </w:r>
            <w:r w:rsidRPr="00E332C8">
              <w:t>ermanent care parents have parental responsibility for the child</w:t>
            </w:r>
            <w:r>
              <w:t>, to the exclusion of all others</w:t>
            </w:r>
            <w:r w:rsidRPr="00E332C8">
              <w:t>.</w:t>
            </w:r>
          </w:p>
          <w:p w14:paraId="1E9B9A40" w14:textId="77777777" w:rsidR="00A53F14" w:rsidRDefault="00A53F14" w:rsidP="00347BBC">
            <w:pPr>
              <w:pStyle w:val="DHSTableText"/>
              <w:spacing w:before="60"/>
            </w:pPr>
            <w:r>
              <w:t>If permanent care parents die, reverts to care by Secretary order.</w:t>
            </w:r>
          </w:p>
        </w:tc>
      </w:tr>
      <w:tr w:rsidR="00347BBC" w14:paraId="31A5574A" w14:textId="77777777" w:rsidTr="001B2CE4">
        <w:trPr>
          <w:cantSplit/>
          <w:tblHeader/>
        </w:trPr>
        <w:tc>
          <w:tcPr>
            <w:tcW w:w="4190" w:type="dxa"/>
            <w:tcBorders>
              <w:top w:val="single" w:sz="4" w:space="0" w:color="auto"/>
            </w:tcBorders>
          </w:tcPr>
          <w:p w14:paraId="133A994B" w14:textId="77777777" w:rsidR="00400F91" w:rsidRDefault="00347BBC" w:rsidP="00400F91">
            <w:pPr>
              <w:pStyle w:val="DHSTableText"/>
              <w:spacing w:before="60"/>
              <w:rPr>
                <w:b/>
              </w:rPr>
            </w:pPr>
            <w:r w:rsidRPr="00195965">
              <w:rPr>
                <w:b/>
              </w:rPr>
              <w:t>Long-term Guardianship to Secretary order</w:t>
            </w:r>
          </w:p>
          <w:p w14:paraId="4A178A84" w14:textId="77777777" w:rsidR="00400F91" w:rsidRDefault="00A53F14" w:rsidP="00400F91">
            <w:pPr>
              <w:pStyle w:val="DHSTableText"/>
              <w:spacing w:before="60"/>
              <w:rPr>
                <w:b/>
              </w:rPr>
            </w:pPr>
            <w:r>
              <w:t xml:space="preserve">Gave </w:t>
            </w:r>
            <w:r w:rsidRPr="00996898">
              <w:t xml:space="preserve">custody and guardianship to </w:t>
            </w:r>
            <w:r>
              <w:t>Child Protection</w:t>
            </w:r>
            <w:r w:rsidRPr="00996898">
              <w:t xml:space="preserve"> to the exclusion of all others</w:t>
            </w:r>
            <w:r>
              <w:t xml:space="preserve"> </w:t>
            </w:r>
            <w:r w:rsidR="00400F91" w:rsidRPr="001B2CE4">
              <w:t>Could only</w:t>
            </w:r>
            <w:r w:rsidR="00400F91">
              <w:t xml:space="preserve"> made for children aged 12 or over</w:t>
            </w:r>
            <w:r>
              <w:t xml:space="preserve">, </w:t>
            </w:r>
            <w:r w:rsidR="00400F91">
              <w:t>with their agreement</w:t>
            </w:r>
            <w:r w:rsidR="00CC1C79">
              <w:t xml:space="preserve">, and </w:t>
            </w:r>
            <w:r w:rsidR="00CC1C79" w:rsidRPr="00E332C8">
              <w:t>provided there is a suitable carer</w:t>
            </w:r>
            <w:r w:rsidR="00CC1C79">
              <w:t>.</w:t>
            </w:r>
          </w:p>
        </w:tc>
        <w:tc>
          <w:tcPr>
            <w:tcW w:w="1984" w:type="dxa"/>
            <w:tcBorders>
              <w:top w:val="single" w:sz="4" w:space="0" w:color="auto"/>
            </w:tcBorders>
          </w:tcPr>
          <w:p w14:paraId="0429D39B" w14:textId="77777777" w:rsidR="00347BBC" w:rsidRPr="0008635A" w:rsidRDefault="00347BBC" w:rsidP="00D83DED">
            <w:pPr>
              <w:pStyle w:val="DHSTableText"/>
              <w:spacing w:before="60"/>
              <w:rPr>
                <w:b/>
              </w:rPr>
            </w:pPr>
            <w:r w:rsidRPr="00195965">
              <w:rPr>
                <w:b/>
              </w:rPr>
              <w:t>Long-term care order</w:t>
            </w:r>
          </w:p>
        </w:tc>
        <w:tc>
          <w:tcPr>
            <w:tcW w:w="4394" w:type="dxa"/>
            <w:tcBorders>
              <w:top w:val="single" w:sz="4" w:space="0" w:color="auto"/>
            </w:tcBorders>
          </w:tcPr>
          <w:p w14:paraId="53A79921" w14:textId="62C9775F" w:rsidR="00400F91" w:rsidRDefault="00347BBC" w:rsidP="00347BBC">
            <w:pPr>
              <w:pStyle w:val="DHSTableText"/>
              <w:spacing w:before="60"/>
            </w:pPr>
            <w:r w:rsidRPr="00E332C8">
              <w:t xml:space="preserve">This order </w:t>
            </w:r>
            <w:r w:rsidR="000353EA">
              <w:t>is</w:t>
            </w:r>
            <w:r w:rsidRPr="00E332C8">
              <w:t xml:space="preserve"> an option for a child of any age, provided there is a suitable carer for the child</w:t>
            </w:r>
            <w:r w:rsidR="00400F91">
              <w:t xml:space="preserve"> and permanent care is not </w:t>
            </w:r>
            <w:r w:rsidR="00A53F14">
              <w:t>available</w:t>
            </w:r>
            <w:r w:rsidR="00D0371F">
              <w:t>.</w:t>
            </w:r>
          </w:p>
          <w:p w14:paraId="5FAA6D30" w14:textId="77777777" w:rsidR="007D49E9" w:rsidRDefault="00400F91" w:rsidP="00347BBC">
            <w:pPr>
              <w:pStyle w:val="DHSTableText"/>
              <w:spacing w:before="60"/>
            </w:pPr>
            <w:r>
              <w:t xml:space="preserve">It cannot be made if a child aged 10 or over opposes the </w:t>
            </w:r>
            <w:r w:rsidR="00A53F14">
              <w:t>order but</w:t>
            </w:r>
            <w:r>
              <w:t xml:space="preserve"> does not require the child’s agreement.</w:t>
            </w:r>
            <w:r w:rsidR="00347BBC" w:rsidRPr="00E332C8">
              <w:t xml:space="preserve"> </w:t>
            </w:r>
          </w:p>
          <w:p w14:paraId="282BC15A" w14:textId="6DDEE2D2" w:rsidR="00347BBC" w:rsidRDefault="007D49E9" w:rsidP="00347BBC">
            <w:pPr>
              <w:pStyle w:val="DHSTableText"/>
              <w:spacing w:before="60"/>
            </w:pPr>
            <w:r>
              <w:t xml:space="preserve">Like </w:t>
            </w:r>
            <w:r w:rsidR="000353EA">
              <w:t xml:space="preserve">the former </w:t>
            </w:r>
            <w:r>
              <w:t>long-term guardianship to Secretary order, i</w:t>
            </w:r>
            <w:r w:rsidR="00347BBC" w:rsidRPr="00E332C8">
              <w:t>t continue</w:t>
            </w:r>
            <w:r w:rsidR="000353EA">
              <w:t>s</w:t>
            </w:r>
            <w:r w:rsidR="00347BBC" w:rsidRPr="00E332C8">
              <w:t xml:space="preserve"> u</w:t>
            </w:r>
            <w:r>
              <w:t xml:space="preserve">ntil the child’s 18th birthday and </w:t>
            </w:r>
            <w:r w:rsidR="000353EA">
              <w:t>does</w:t>
            </w:r>
            <w:r w:rsidR="00347BBC" w:rsidRPr="00E332C8">
              <w:t xml:space="preserve"> not include conditions</w:t>
            </w:r>
            <w:r>
              <w:t>. T</w:t>
            </w:r>
            <w:r w:rsidR="00347BBC" w:rsidRPr="00E332C8">
              <w:t xml:space="preserve">he department </w:t>
            </w:r>
            <w:r w:rsidR="000353EA">
              <w:t>has</w:t>
            </w:r>
            <w:r w:rsidR="00347BBC">
              <w:t xml:space="preserve"> </w:t>
            </w:r>
            <w:r w:rsidRPr="00E332C8">
              <w:t>parental responsibility for the child</w:t>
            </w:r>
            <w:r>
              <w:t>, to the exclusion of all others</w:t>
            </w:r>
            <w:r w:rsidR="00347BBC">
              <w:t>.</w:t>
            </w:r>
          </w:p>
        </w:tc>
      </w:tr>
    </w:tbl>
    <w:p w14:paraId="2F127133" w14:textId="77777777" w:rsidR="00A62D44" w:rsidRPr="004C6EEE" w:rsidRDefault="00347BBC" w:rsidP="003126B9">
      <w:pPr>
        <w:pStyle w:val="DHHStablefigurenote"/>
        <w:ind w:right="-475"/>
        <w:sectPr w:rsidR="00A62D44" w:rsidRPr="004C6EEE" w:rsidSect="00D33E7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1418" w:left="851" w:header="510" w:footer="510" w:gutter="0"/>
          <w:cols w:space="708"/>
          <w:docGrid w:linePitch="360"/>
        </w:sectPr>
      </w:pPr>
      <w:r>
        <w:t>*</w:t>
      </w:r>
      <w:r w:rsidRPr="00E332C8">
        <w:t xml:space="preserve">The Department of </w:t>
      </w:r>
      <w:r>
        <w:t xml:space="preserve">Health and </w:t>
      </w:r>
      <w:r w:rsidRPr="00E332C8">
        <w:t>Human Services does not supervise these orders.</w:t>
      </w:r>
      <w:r>
        <w:br/>
      </w:r>
      <w:r w:rsidRPr="00195965">
        <w:rPr>
          <w:vertAlign w:val="superscript"/>
        </w:rPr>
        <w:t>#</w:t>
      </w:r>
      <w:r w:rsidRPr="00E332C8">
        <w:t>Time in o</w:t>
      </w:r>
      <w:r>
        <w:t>ut-of-home care means the time a child has spent, cumulatively, on an order enabling placement in</w:t>
      </w:r>
      <w:r w:rsidRPr="00E332C8">
        <w:t xml:space="preserve"> out-of-home care</w:t>
      </w:r>
      <w:r>
        <w:t>,</w:t>
      </w:r>
      <w:r w:rsidRPr="00E332C8">
        <w:t xml:space="preserve"> since the first </w:t>
      </w:r>
      <w:r>
        <w:t xml:space="preserve">such </w:t>
      </w:r>
      <w:r w:rsidRPr="00E332C8">
        <w:t xml:space="preserve">order </w:t>
      </w:r>
      <w:r>
        <w:t xml:space="preserve">was made </w:t>
      </w:r>
      <w:r w:rsidRPr="00E332C8">
        <w:t>(including interim accommodation orders) during the current period of Children’s Court involvement.</w:t>
      </w:r>
      <w:r w:rsidR="000C2A94">
        <w:t>.</w:t>
      </w:r>
    </w:p>
    <w:p w14:paraId="718D77A8" w14:textId="2212F0F7" w:rsidR="00B2752E" w:rsidRPr="00906490" w:rsidRDefault="00914CB9" w:rsidP="000C2A94">
      <w:pPr>
        <w:pStyle w:val="DHHSbody"/>
      </w:pPr>
      <w:r>
        <w:rPr>
          <w:noProof/>
          <w:lang w:eastAsia="en-AU"/>
        </w:rPr>
        <w:pict w14:anchorId="05E8DEFC">
          <v:shapetype id="_x0000_t202" coordsize="21600,21600" o:spt="202" path="m,l,21600r21600,l21600,xe">
            <v:stroke joinstyle="miter"/>
            <v:path gradientshapeok="t" o:connecttype="rect"/>
          </v:shapetype>
          <v:shape id="_x0000_s1056" type="#_x0000_t202" style="position:absolute;margin-left:.65pt;margin-top:4.85pt;width:370.4pt;height:55.75pt;z-index:251657728">
            <v:textbox>
              <w:txbxContent>
                <w:p w14:paraId="117D797A" w14:textId="6B16D21A" w:rsidR="000C2A94" w:rsidRPr="007D49E9" w:rsidRDefault="000C2A94" w:rsidP="000C2A94">
                  <w:pPr>
                    <w:pStyle w:val="DHHSbody"/>
                    <w:rPr>
                      <w:sz w:val="16"/>
                      <w:szCs w:val="16"/>
                    </w:rPr>
                  </w:pPr>
                  <w:r w:rsidRPr="007D49E9">
                    <w:rPr>
                      <w:sz w:val="16"/>
                      <w:szCs w:val="16"/>
                    </w:rPr>
                    <w:t xml:space="preserve">To receive this publication in an accessible format email </w:t>
                  </w:r>
                  <w:hyperlink r:id="rId14" w:history="1">
                    <w:r w:rsidR="00914CB9" w:rsidRPr="002B0E7B">
                      <w:rPr>
                        <w:rStyle w:val="Hyperlink"/>
                        <w:rFonts w:cs="Arial"/>
                        <w:sz w:val="16"/>
                        <w:szCs w:val="16"/>
                      </w:rPr>
                      <w:t>cpmanual@dhhs.vic.gov.au</w:t>
                    </w:r>
                  </w:hyperlink>
                  <w:r w:rsidRPr="007D49E9">
                    <w:rPr>
                      <w:sz w:val="16"/>
                      <w:szCs w:val="16"/>
                    </w:rPr>
                    <w:br/>
                    <w:t xml:space="preserve">Authorised and published by the Victorian Government, 1 Treasury Place, Melbourne. </w:t>
                  </w:r>
                  <w:r w:rsidRPr="007D49E9">
                    <w:rPr>
                      <w:sz w:val="16"/>
                      <w:szCs w:val="16"/>
                    </w:rPr>
                    <w:br/>
                    <w:t xml:space="preserve">© State of Victoria, </w:t>
                  </w:r>
                  <w:r w:rsidR="00400F91" w:rsidRPr="00914CB9">
                    <w:rPr>
                      <w:sz w:val="16"/>
                      <w:szCs w:val="16"/>
                    </w:rPr>
                    <w:t>December</w:t>
                  </w:r>
                  <w:r w:rsidR="00400F91">
                    <w:rPr>
                      <w:sz w:val="16"/>
                      <w:szCs w:val="16"/>
                    </w:rPr>
                    <w:t xml:space="preserve"> </w:t>
                  </w:r>
                  <w:r w:rsidRPr="007D49E9">
                    <w:rPr>
                      <w:sz w:val="16"/>
                      <w:szCs w:val="16"/>
                    </w:rPr>
                    <w:t>20</w:t>
                  </w:r>
                  <w:r w:rsidR="000353EA">
                    <w:rPr>
                      <w:sz w:val="16"/>
                      <w:szCs w:val="16"/>
                    </w:rPr>
                    <w:t>20</w:t>
                  </w:r>
                  <w:bookmarkStart w:id="1" w:name="_GoBack"/>
                  <w:bookmarkEnd w:id="1"/>
                  <w:r w:rsidRPr="007D49E9">
                    <w:rPr>
                      <w:sz w:val="16"/>
                      <w:szCs w:val="16"/>
                    </w:rPr>
                    <w:br/>
                  </w:r>
                </w:p>
                <w:p w14:paraId="15A9FA2A" w14:textId="77777777" w:rsidR="000C2A94" w:rsidRDefault="000C2A94"/>
              </w:txbxContent>
            </v:textbox>
          </v:shape>
        </w:pict>
      </w:r>
      <w:r>
        <w:rPr>
          <w:noProof/>
          <w:lang w:eastAsia="en-AU"/>
        </w:rPr>
        <w:pict w14:anchorId="04A69683">
          <v:shape id="_x0000_s1057" type="#_x0000_t202" style="position:absolute;margin-left:389.15pt;margin-top:4.85pt;width:135.75pt;height:18.1pt;z-index:251658752">
            <v:textbox>
              <w:txbxContent>
                <w:p w14:paraId="6D37A8B3" w14:textId="020136D2" w:rsidR="007D49E9" w:rsidRPr="004C4921" w:rsidRDefault="007D49E9">
                  <w:pPr>
                    <w:rPr>
                      <w:rFonts w:ascii="Arial" w:hAnsi="Arial" w:cs="Arial"/>
                      <w:sz w:val="16"/>
                      <w:szCs w:val="16"/>
                    </w:rPr>
                  </w:pPr>
                  <w:r w:rsidRPr="004C4921">
                    <w:rPr>
                      <w:rFonts w:ascii="Arial" w:hAnsi="Arial" w:cs="Arial"/>
                      <w:sz w:val="16"/>
                      <w:szCs w:val="16"/>
                    </w:rPr>
                    <w:t xml:space="preserve">Last updated </w:t>
                  </w:r>
                  <w:r w:rsidR="00914CB9" w:rsidRPr="00914CB9">
                    <w:rPr>
                      <w:rFonts w:ascii="Arial" w:hAnsi="Arial" w:cs="Arial"/>
                      <w:sz w:val="16"/>
                      <w:szCs w:val="16"/>
                    </w:rPr>
                    <w:t>December</w:t>
                  </w:r>
                  <w:r w:rsidR="00400F91" w:rsidRPr="00914CB9">
                    <w:rPr>
                      <w:rFonts w:ascii="Arial" w:hAnsi="Arial" w:cs="Arial"/>
                      <w:sz w:val="16"/>
                      <w:szCs w:val="16"/>
                    </w:rPr>
                    <w:t xml:space="preserve"> </w:t>
                  </w:r>
                  <w:r w:rsidR="000353EA" w:rsidRPr="00914CB9">
                    <w:rPr>
                      <w:rFonts w:ascii="Arial" w:hAnsi="Arial" w:cs="Arial"/>
                      <w:sz w:val="16"/>
                      <w:szCs w:val="16"/>
                    </w:rPr>
                    <w:t>2020</w:t>
                  </w:r>
                </w:p>
              </w:txbxContent>
            </v:textbox>
          </v:shape>
        </w:pict>
      </w:r>
    </w:p>
    <w:sectPr w:rsidR="00B2752E" w:rsidRPr="00906490" w:rsidSect="00CC0C72">
      <w:headerReference w:type="default" r:id="rId15"/>
      <w:footerReference w:type="default" r:id="rId16"/>
      <w:type w:val="continuous"/>
      <w:pgSz w:w="11906" w:h="16838" w:code="9"/>
      <w:pgMar w:top="1418" w:right="851" w:bottom="1134" w:left="851"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65DF" w14:textId="77777777" w:rsidR="00421711" w:rsidRDefault="00421711">
      <w:r>
        <w:separator/>
      </w:r>
    </w:p>
  </w:endnote>
  <w:endnote w:type="continuationSeparator" w:id="0">
    <w:p w14:paraId="0F682394" w14:textId="77777777" w:rsidR="00421711" w:rsidRDefault="004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88BD" w14:textId="77777777" w:rsidR="0047377F" w:rsidRDefault="00473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2BBE" w14:textId="77777777" w:rsidR="009D70A4" w:rsidRPr="007D49E9" w:rsidRDefault="00914CB9" w:rsidP="0051568D">
    <w:pPr>
      <w:pStyle w:val="DHHSfooter"/>
    </w:pPr>
    <w:r>
      <w:rPr>
        <w:noProof/>
        <w:lang w:eastAsia="en-AU"/>
      </w:rPr>
      <w:pict w14:anchorId="2801E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Victoria State Government Department of Health and Human Services" style="position:absolute;margin-left:-2.7pt;margin-top:784.65pt;width:595.55pt;height:61.85pt;z-index:251657728;mso-position-horizontal-relative:page;mso-position-vertical-relative:page">
          <v:imagedata r:id="rId1" o:title="Factsheet Footer Portrait All"/>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7623" w14:textId="77777777" w:rsidR="0047377F" w:rsidRDefault="00473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2D71" w14:textId="77777777"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347BBC">
      <w:rPr>
        <w:noProof/>
      </w:rPr>
      <w:t>3</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1049" w14:textId="77777777" w:rsidR="00421711" w:rsidRDefault="00421711" w:rsidP="002862F1">
      <w:pPr>
        <w:spacing w:before="120"/>
      </w:pPr>
      <w:r>
        <w:separator/>
      </w:r>
    </w:p>
  </w:footnote>
  <w:footnote w:type="continuationSeparator" w:id="0">
    <w:p w14:paraId="2807732C" w14:textId="77777777" w:rsidR="00421711" w:rsidRDefault="0042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7B91" w14:textId="77777777" w:rsidR="0047377F" w:rsidRDefault="00473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C941" w14:textId="77777777" w:rsidR="0047377F" w:rsidRDefault="00473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440F" w14:textId="77777777" w:rsidR="0047377F" w:rsidRDefault="00473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296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327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C82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CA3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C9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C5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05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0D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2E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324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A2D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B8D43DB"/>
    <w:multiLevelType w:val="multilevel"/>
    <w:tmpl w:val="4B4E7622"/>
    <w:numStyleLink w:val="ZZNumbers"/>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FC84C29"/>
    <w:multiLevelType w:val="hybridMultilevel"/>
    <w:tmpl w:val="97446FA0"/>
    <w:lvl w:ilvl="0" w:tplc="B220E7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0"/>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81"/>
  <w:drawingGridVerticalSpacing w:val="181"/>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50"/>
    <w:rsid w:val="000072B6"/>
    <w:rsid w:val="0001021B"/>
    <w:rsid w:val="00011D89"/>
    <w:rsid w:val="00024D89"/>
    <w:rsid w:val="00026BF3"/>
    <w:rsid w:val="00033D81"/>
    <w:rsid w:val="000353EA"/>
    <w:rsid w:val="00041BF0"/>
    <w:rsid w:val="0004536B"/>
    <w:rsid w:val="00045964"/>
    <w:rsid w:val="00046B68"/>
    <w:rsid w:val="000527DD"/>
    <w:rsid w:val="000578B2"/>
    <w:rsid w:val="00060959"/>
    <w:rsid w:val="000663CD"/>
    <w:rsid w:val="00074219"/>
    <w:rsid w:val="00074ED5"/>
    <w:rsid w:val="00094DA3"/>
    <w:rsid w:val="00096CD1"/>
    <w:rsid w:val="000A012C"/>
    <w:rsid w:val="000A0EB9"/>
    <w:rsid w:val="000A186C"/>
    <w:rsid w:val="000B543D"/>
    <w:rsid w:val="000B5BF7"/>
    <w:rsid w:val="000B6BC8"/>
    <w:rsid w:val="000C2A94"/>
    <w:rsid w:val="000C42EA"/>
    <w:rsid w:val="000C4546"/>
    <w:rsid w:val="000D1242"/>
    <w:rsid w:val="000E3CC7"/>
    <w:rsid w:val="000E6BD4"/>
    <w:rsid w:val="000F1F1E"/>
    <w:rsid w:val="000F2259"/>
    <w:rsid w:val="0010392D"/>
    <w:rsid w:val="00104FE3"/>
    <w:rsid w:val="00120BD3"/>
    <w:rsid w:val="00122392"/>
    <w:rsid w:val="00122FEA"/>
    <w:rsid w:val="001232BD"/>
    <w:rsid w:val="00124ED5"/>
    <w:rsid w:val="001447B3"/>
    <w:rsid w:val="00152073"/>
    <w:rsid w:val="00161939"/>
    <w:rsid w:val="00161AA0"/>
    <w:rsid w:val="00162093"/>
    <w:rsid w:val="001771DD"/>
    <w:rsid w:val="00177995"/>
    <w:rsid w:val="00177A8C"/>
    <w:rsid w:val="00180E00"/>
    <w:rsid w:val="00186B33"/>
    <w:rsid w:val="00192829"/>
    <w:rsid w:val="00192F9D"/>
    <w:rsid w:val="00193D9F"/>
    <w:rsid w:val="00196EB8"/>
    <w:rsid w:val="001979FF"/>
    <w:rsid w:val="00197B17"/>
    <w:rsid w:val="001A3ACE"/>
    <w:rsid w:val="001B2CE4"/>
    <w:rsid w:val="001C2A72"/>
    <w:rsid w:val="001D0B75"/>
    <w:rsid w:val="001D2B54"/>
    <w:rsid w:val="001D3C09"/>
    <w:rsid w:val="001D44E8"/>
    <w:rsid w:val="001D60EC"/>
    <w:rsid w:val="001E44DF"/>
    <w:rsid w:val="001E68A5"/>
    <w:rsid w:val="001F3826"/>
    <w:rsid w:val="001F6E46"/>
    <w:rsid w:val="001F7BE7"/>
    <w:rsid w:val="001F7C91"/>
    <w:rsid w:val="00206463"/>
    <w:rsid w:val="00206F2F"/>
    <w:rsid w:val="0021053D"/>
    <w:rsid w:val="00210A92"/>
    <w:rsid w:val="00216C03"/>
    <w:rsid w:val="00220C04"/>
    <w:rsid w:val="00223001"/>
    <w:rsid w:val="0022701F"/>
    <w:rsid w:val="002333F5"/>
    <w:rsid w:val="002432E1"/>
    <w:rsid w:val="00246C5E"/>
    <w:rsid w:val="00251343"/>
    <w:rsid w:val="00254F58"/>
    <w:rsid w:val="002620BC"/>
    <w:rsid w:val="0026220B"/>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5F31"/>
    <w:rsid w:val="00302216"/>
    <w:rsid w:val="00303E53"/>
    <w:rsid w:val="003048F0"/>
    <w:rsid w:val="00306E5F"/>
    <w:rsid w:val="00307E14"/>
    <w:rsid w:val="003126B9"/>
    <w:rsid w:val="00314054"/>
    <w:rsid w:val="00316F27"/>
    <w:rsid w:val="00327870"/>
    <w:rsid w:val="0033259D"/>
    <w:rsid w:val="003406C6"/>
    <w:rsid w:val="003418CC"/>
    <w:rsid w:val="003459BD"/>
    <w:rsid w:val="00347BBC"/>
    <w:rsid w:val="00350D38"/>
    <w:rsid w:val="003744CF"/>
    <w:rsid w:val="00374717"/>
    <w:rsid w:val="0037676C"/>
    <w:rsid w:val="003829E5"/>
    <w:rsid w:val="003956CC"/>
    <w:rsid w:val="00395C9A"/>
    <w:rsid w:val="003A6B67"/>
    <w:rsid w:val="003B15E6"/>
    <w:rsid w:val="003C2045"/>
    <w:rsid w:val="003C43A1"/>
    <w:rsid w:val="003C4FC0"/>
    <w:rsid w:val="003C55F4"/>
    <w:rsid w:val="003C7A3F"/>
    <w:rsid w:val="003D3E8F"/>
    <w:rsid w:val="003D6475"/>
    <w:rsid w:val="003F0445"/>
    <w:rsid w:val="003F0CF0"/>
    <w:rsid w:val="003F3289"/>
    <w:rsid w:val="00400F91"/>
    <w:rsid w:val="00401FCF"/>
    <w:rsid w:val="00406285"/>
    <w:rsid w:val="0041423E"/>
    <w:rsid w:val="004148F9"/>
    <w:rsid w:val="0042084E"/>
    <w:rsid w:val="00421711"/>
    <w:rsid w:val="00421EEF"/>
    <w:rsid w:val="00424D65"/>
    <w:rsid w:val="00442C6C"/>
    <w:rsid w:val="00443CBE"/>
    <w:rsid w:val="00443E8A"/>
    <w:rsid w:val="004441BC"/>
    <w:rsid w:val="0045230A"/>
    <w:rsid w:val="00457337"/>
    <w:rsid w:val="004712B3"/>
    <w:rsid w:val="0047372D"/>
    <w:rsid w:val="0047377F"/>
    <w:rsid w:val="004743DD"/>
    <w:rsid w:val="00474CEA"/>
    <w:rsid w:val="00483968"/>
    <w:rsid w:val="00484F86"/>
    <w:rsid w:val="00490746"/>
    <w:rsid w:val="00490852"/>
    <w:rsid w:val="00492F30"/>
    <w:rsid w:val="004946F4"/>
    <w:rsid w:val="0049487E"/>
    <w:rsid w:val="004A160D"/>
    <w:rsid w:val="004A3E81"/>
    <w:rsid w:val="004A5C62"/>
    <w:rsid w:val="004A707D"/>
    <w:rsid w:val="004C4921"/>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5BE8"/>
    <w:rsid w:val="00526C15"/>
    <w:rsid w:val="00536499"/>
    <w:rsid w:val="00543903"/>
    <w:rsid w:val="00547A95"/>
    <w:rsid w:val="00567EC4"/>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4D9A"/>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708A"/>
    <w:rsid w:val="006D2A3F"/>
    <w:rsid w:val="006E138B"/>
    <w:rsid w:val="006F1FDC"/>
    <w:rsid w:val="007013EF"/>
    <w:rsid w:val="00702CEB"/>
    <w:rsid w:val="00703D4B"/>
    <w:rsid w:val="007216AA"/>
    <w:rsid w:val="00721AB5"/>
    <w:rsid w:val="00721DEF"/>
    <w:rsid w:val="00723E70"/>
    <w:rsid w:val="00724A43"/>
    <w:rsid w:val="007346E4"/>
    <w:rsid w:val="00740F22"/>
    <w:rsid w:val="00741F1A"/>
    <w:rsid w:val="007450F8"/>
    <w:rsid w:val="0074696E"/>
    <w:rsid w:val="00750135"/>
    <w:rsid w:val="00752B28"/>
    <w:rsid w:val="00754E36"/>
    <w:rsid w:val="00763139"/>
    <w:rsid w:val="00770F37"/>
    <w:rsid w:val="00772D5E"/>
    <w:rsid w:val="00776928"/>
    <w:rsid w:val="00786F16"/>
    <w:rsid w:val="00796E20"/>
    <w:rsid w:val="00797C32"/>
    <w:rsid w:val="007B0914"/>
    <w:rsid w:val="007B1374"/>
    <w:rsid w:val="007B1802"/>
    <w:rsid w:val="007B589F"/>
    <w:rsid w:val="007B6186"/>
    <w:rsid w:val="007B6650"/>
    <w:rsid w:val="007C7301"/>
    <w:rsid w:val="007C7859"/>
    <w:rsid w:val="007D2BDE"/>
    <w:rsid w:val="007D2FB6"/>
    <w:rsid w:val="007D49E9"/>
    <w:rsid w:val="007E0DE2"/>
    <w:rsid w:val="007F31B6"/>
    <w:rsid w:val="007F546C"/>
    <w:rsid w:val="007F665E"/>
    <w:rsid w:val="00800412"/>
    <w:rsid w:val="0080587B"/>
    <w:rsid w:val="00806468"/>
    <w:rsid w:val="008155F0"/>
    <w:rsid w:val="00816735"/>
    <w:rsid w:val="00820141"/>
    <w:rsid w:val="008204A8"/>
    <w:rsid w:val="00820E0C"/>
    <w:rsid w:val="008338A2"/>
    <w:rsid w:val="00834777"/>
    <w:rsid w:val="0084417C"/>
    <w:rsid w:val="00853EE4"/>
    <w:rsid w:val="00855535"/>
    <w:rsid w:val="008633F0"/>
    <w:rsid w:val="00867D9D"/>
    <w:rsid w:val="00872E0A"/>
    <w:rsid w:val="00875285"/>
    <w:rsid w:val="008766CF"/>
    <w:rsid w:val="00881958"/>
    <w:rsid w:val="00884B62"/>
    <w:rsid w:val="0088529C"/>
    <w:rsid w:val="008857AA"/>
    <w:rsid w:val="00887903"/>
    <w:rsid w:val="0089270A"/>
    <w:rsid w:val="00892C6A"/>
    <w:rsid w:val="00893AF6"/>
    <w:rsid w:val="00894BC4"/>
    <w:rsid w:val="008B2EE4"/>
    <w:rsid w:val="008B4D3D"/>
    <w:rsid w:val="008B57C7"/>
    <w:rsid w:val="008C2F92"/>
    <w:rsid w:val="008C65EB"/>
    <w:rsid w:val="008D4236"/>
    <w:rsid w:val="008D462F"/>
    <w:rsid w:val="008D46E5"/>
    <w:rsid w:val="008E10F6"/>
    <w:rsid w:val="008E4376"/>
    <w:rsid w:val="008E7A0A"/>
    <w:rsid w:val="00900719"/>
    <w:rsid w:val="009017AC"/>
    <w:rsid w:val="00905030"/>
    <w:rsid w:val="00906490"/>
    <w:rsid w:val="009111B2"/>
    <w:rsid w:val="00914CB9"/>
    <w:rsid w:val="00924AE1"/>
    <w:rsid w:val="009269B1"/>
    <w:rsid w:val="0092724D"/>
    <w:rsid w:val="00930BB2"/>
    <w:rsid w:val="00937BD9"/>
    <w:rsid w:val="00950E2C"/>
    <w:rsid w:val="00951D50"/>
    <w:rsid w:val="009525EB"/>
    <w:rsid w:val="00961400"/>
    <w:rsid w:val="00963646"/>
    <w:rsid w:val="009853E1"/>
    <w:rsid w:val="00986E6B"/>
    <w:rsid w:val="00991769"/>
    <w:rsid w:val="00994386"/>
    <w:rsid w:val="009A13D8"/>
    <w:rsid w:val="009A279E"/>
    <w:rsid w:val="009B0A6F"/>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027BE"/>
    <w:rsid w:val="00A11421"/>
    <w:rsid w:val="00A157B1"/>
    <w:rsid w:val="00A15E7B"/>
    <w:rsid w:val="00A22229"/>
    <w:rsid w:val="00A44882"/>
    <w:rsid w:val="00A53F14"/>
    <w:rsid w:val="00A54715"/>
    <w:rsid w:val="00A6061C"/>
    <w:rsid w:val="00A62D44"/>
    <w:rsid w:val="00A63B9E"/>
    <w:rsid w:val="00A67263"/>
    <w:rsid w:val="00A7161C"/>
    <w:rsid w:val="00A77AA3"/>
    <w:rsid w:val="00A872E5"/>
    <w:rsid w:val="00A96E65"/>
    <w:rsid w:val="00A97C72"/>
    <w:rsid w:val="00AA63D4"/>
    <w:rsid w:val="00AB06E8"/>
    <w:rsid w:val="00AB1CD3"/>
    <w:rsid w:val="00AB352F"/>
    <w:rsid w:val="00AC274B"/>
    <w:rsid w:val="00AC4764"/>
    <w:rsid w:val="00AC6D36"/>
    <w:rsid w:val="00AD0CBA"/>
    <w:rsid w:val="00AD26E2"/>
    <w:rsid w:val="00AE126A"/>
    <w:rsid w:val="00AE3005"/>
    <w:rsid w:val="00AE59A0"/>
    <w:rsid w:val="00AF0C57"/>
    <w:rsid w:val="00AF26F3"/>
    <w:rsid w:val="00B00672"/>
    <w:rsid w:val="00B01B4D"/>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90729"/>
    <w:rsid w:val="00B907DA"/>
    <w:rsid w:val="00B950BC"/>
    <w:rsid w:val="00B9714C"/>
    <w:rsid w:val="00BA3F8D"/>
    <w:rsid w:val="00BB7A10"/>
    <w:rsid w:val="00BC7D4F"/>
    <w:rsid w:val="00BC7ED7"/>
    <w:rsid w:val="00BD2850"/>
    <w:rsid w:val="00BE28D2"/>
    <w:rsid w:val="00BF7F58"/>
    <w:rsid w:val="00C01381"/>
    <w:rsid w:val="00C079B8"/>
    <w:rsid w:val="00C123EA"/>
    <w:rsid w:val="00C12A49"/>
    <w:rsid w:val="00C133EE"/>
    <w:rsid w:val="00C27DE9"/>
    <w:rsid w:val="00C31444"/>
    <w:rsid w:val="00C33388"/>
    <w:rsid w:val="00C4173A"/>
    <w:rsid w:val="00C602FF"/>
    <w:rsid w:val="00C61174"/>
    <w:rsid w:val="00C6148F"/>
    <w:rsid w:val="00C62F7A"/>
    <w:rsid w:val="00C63B9C"/>
    <w:rsid w:val="00C6682F"/>
    <w:rsid w:val="00C7275E"/>
    <w:rsid w:val="00C74C5D"/>
    <w:rsid w:val="00C863C4"/>
    <w:rsid w:val="00C93C3E"/>
    <w:rsid w:val="00CA12E3"/>
    <w:rsid w:val="00CA6611"/>
    <w:rsid w:val="00CC0C72"/>
    <w:rsid w:val="00CC1C79"/>
    <w:rsid w:val="00CC2BFD"/>
    <w:rsid w:val="00CC6A8E"/>
    <w:rsid w:val="00CD3476"/>
    <w:rsid w:val="00CD64DF"/>
    <w:rsid w:val="00CE63C0"/>
    <w:rsid w:val="00CF2F50"/>
    <w:rsid w:val="00D02919"/>
    <w:rsid w:val="00D0371F"/>
    <w:rsid w:val="00D04C61"/>
    <w:rsid w:val="00D05B8D"/>
    <w:rsid w:val="00D065A2"/>
    <w:rsid w:val="00D07F00"/>
    <w:rsid w:val="00D226D1"/>
    <w:rsid w:val="00D33E72"/>
    <w:rsid w:val="00D35BD6"/>
    <w:rsid w:val="00D361B5"/>
    <w:rsid w:val="00D411A2"/>
    <w:rsid w:val="00D50B9C"/>
    <w:rsid w:val="00D52D73"/>
    <w:rsid w:val="00D52E58"/>
    <w:rsid w:val="00D714CC"/>
    <w:rsid w:val="00D75EA7"/>
    <w:rsid w:val="00D81F21"/>
    <w:rsid w:val="00D83DED"/>
    <w:rsid w:val="00D95470"/>
    <w:rsid w:val="00DA2619"/>
    <w:rsid w:val="00DA2849"/>
    <w:rsid w:val="00DA4239"/>
    <w:rsid w:val="00DB0B61"/>
    <w:rsid w:val="00DC090B"/>
    <w:rsid w:val="00DC2CF1"/>
    <w:rsid w:val="00DC4FCF"/>
    <w:rsid w:val="00DC50E0"/>
    <w:rsid w:val="00DC6386"/>
    <w:rsid w:val="00DC7088"/>
    <w:rsid w:val="00DD1130"/>
    <w:rsid w:val="00DD1951"/>
    <w:rsid w:val="00DD2DFF"/>
    <w:rsid w:val="00DD6628"/>
    <w:rsid w:val="00DE3250"/>
    <w:rsid w:val="00DE6028"/>
    <w:rsid w:val="00DE78A3"/>
    <w:rsid w:val="00DF1A71"/>
    <w:rsid w:val="00DF68C7"/>
    <w:rsid w:val="00DF731A"/>
    <w:rsid w:val="00E170DC"/>
    <w:rsid w:val="00E26818"/>
    <w:rsid w:val="00E27FFC"/>
    <w:rsid w:val="00E30B15"/>
    <w:rsid w:val="00E40181"/>
    <w:rsid w:val="00E629A1"/>
    <w:rsid w:val="00E753FA"/>
    <w:rsid w:val="00E82C55"/>
    <w:rsid w:val="00E92AC3"/>
    <w:rsid w:val="00E93334"/>
    <w:rsid w:val="00EA128C"/>
    <w:rsid w:val="00EB00E0"/>
    <w:rsid w:val="00EC059F"/>
    <w:rsid w:val="00EC1F24"/>
    <w:rsid w:val="00EC22F6"/>
    <w:rsid w:val="00ED5B9B"/>
    <w:rsid w:val="00ED6BAD"/>
    <w:rsid w:val="00ED7447"/>
    <w:rsid w:val="00EE1488"/>
    <w:rsid w:val="00EE4D5D"/>
    <w:rsid w:val="00EE5131"/>
    <w:rsid w:val="00EF109B"/>
    <w:rsid w:val="00EF36AF"/>
    <w:rsid w:val="00F00F9C"/>
    <w:rsid w:val="00F02ABA"/>
    <w:rsid w:val="00F0437A"/>
    <w:rsid w:val="00F11037"/>
    <w:rsid w:val="00F16F1B"/>
    <w:rsid w:val="00F250A9"/>
    <w:rsid w:val="00F30FF4"/>
    <w:rsid w:val="00F3122E"/>
    <w:rsid w:val="00F331AD"/>
    <w:rsid w:val="00F43A37"/>
    <w:rsid w:val="00F4641B"/>
    <w:rsid w:val="00F46EB8"/>
    <w:rsid w:val="00F511E4"/>
    <w:rsid w:val="00F52D09"/>
    <w:rsid w:val="00F52E08"/>
    <w:rsid w:val="00F55B21"/>
    <w:rsid w:val="00F56EF6"/>
    <w:rsid w:val="00F61A9F"/>
    <w:rsid w:val="00F64696"/>
    <w:rsid w:val="00F65AA9"/>
    <w:rsid w:val="00F6768F"/>
    <w:rsid w:val="00F725AE"/>
    <w:rsid w:val="00F72C2C"/>
    <w:rsid w:val="00F76CAB"/>
    <w:rsid w:val="00F772C6"/>
    <w:rsid w:val="00F85195"/>
    <w:rsid w:val="00F938BA"/>
    <w:rsid w:val="00FA2C46"/>
    <w:rsid w:val="00FB4CDA"/>
    <w:rsid w:val="00FB4CF4"/>
    <w:rsid w:val="00FB65D9"/>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BFD225F"/>
  <w15:chartTrackingRefBased/>
  <w15:docId w15:val="{958F33F7-E869-490E-8F18-B6C1D536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47BBC"/>
    <w:rPr>
      <w:rFonts w:ascii="Cambria" w:hAnsi="Cambria"/>
      <w:lang w:eastAsia="en-US"/>
    </w:rPr>
  </w:style>
  <w:style w:type="paragraph" w:styleId="Heading1">
    <w:name w:val="heading 1"/>
    <w:next w:val="DHHSbody"/>
    <w:link w:val="Heading1Char1"/>
    <w:uiPriority w:val="1"/>
    <w:qFormat/>
    <w:rsid w:val="00122392"/>
    <w:pPr>
      <w:keepNext/>
      <w:keepLines/>
      <w:spacing w:before="400" w:after="280" w:line="480" w:lineRule="atLeast"/>
      <w:outlineLvl w:val="0"/>
    </w:pPr>
    <w:rPr>
      <w:rFonts w:ascii="Arial" w:eastAsia="MS Gothic" w:hAnsi="Arial" w:cs="Arial"/>
      <w:bCs/>
      <w:color w:val="7D398D"/>
      <w:kern w:val="32"/>
      <w:sz w:val="40"/>
      <w:szCs w:val="40"/>
      <w:lang w:eastAsia="en-US"/>
    </w:rPr>
  </w:style>
  <w:style w:type="paragraph" w:styleId="Heading2">
    <w:name w:val="heading 2"/>
    <w:next w:val="DHHSbody"/>
    <w:link w:val="Heading2Char1"/>
    <w:uiPriority w:val="1"/>
    <w:qFormat/>
    <w:rsid w:val="00122392"/>
    <w:pPr>
      <w:keepNext/>
      <w:keepLines/>
      <w:spacing w:before="240" w:after="90" w:line="320" w:lineRule="atLeast"/>
      <w:outlineLvl w:val="1"/>
    </w:pPr>
    <w:rPr>
      <w:rFonts w:ascii="Arial" w:hAnsi="Arial"/>
      <w:b/>
      <w:color w:val="7D398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1">
    <w:name w:val="Heading 1 Char1"/>
    <w:link w:val="Heading1"/>
    <w:uiPriority w:val="1"/>
    <w:rsid w:val="00122392"/>
    <w:rPr>
      <w:rFonts w:ascii="Arial" w:eastAsia="MS Gothic" w:hAnsi="Arial" w:cs="Arial"/>
      <w:bCs/>
      <w:color w:val="7D398D"/>
      <w:kern w:val="32"/>
      <w:sz w:val="40"/>
      <w:szCs w:val="40"/>
      <w:lang w:eastAsia="en-US"/>
    </w:rPr>
  </w:style>
  <w:style w:type="character" w:customStyle="1" w:styleId="Heading2Char1">
    <w:name w:val="Heading 2 Char1"/>
    <w:link w:val="Heading2"/>
    <w:uiPriority w:val="1"/>
    <w:rsid w:val="00122392"/>
    <w:rPr>
      <w:rFonts w:ascii="Arial" w:hAnsi="Arial"/>
      <w:b/>
      <w:color w:val="7D398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Heading1Char">
    <w:name w:val="Heading 1 Char"/>
    <w:locked/>
    <w:rsid w:val="00347BBC"/>
    <w:rPr>
      <w:rFonts w:ascii="Arial" w:eastAsia="MS Gothic" w:hAnsi="Arial"/>
      <w:color w:val="7D398D"/>
      <w:kern w:val="32"/>
      <w:sz w:val="32"/>
      <w:lang w:val="x-none" w:eastAsia="en-US"/>
    </w:rPr>
  </w:style>
  <w:style w:type="paragraph" w:customStyle="1" w:styleId="DHHSTOCheadingfactsheet">
    <w:name w:val="DHHS TOC heading fact sheet"/>
    <w:basedOn w:val="Heading2"/>
    <w:next w:val="DHHSbody"/>
    <w:link w:val="DHHSTOCheadingfactsheetChar"/>
    <w:uiPriority w:val="4"/>
    <w:rsid w:val="00122392"/>
    <w:pPr>
      <w:spacing w:before="0" w:after="200"/>
      <w:outlineLvl w:val="9"/>
    </w:pPr>
  </w:style>
  <w:style w:type="character" w:customStyle="1" w:styleId="DHHSTOCheadingfactsheetChar">
    <w:name w:val="DHHS TOC heading fact sheet Char"/>
    <w:link w:val="DHHSTOCheadingfactsheet"/>
    <w:uiPriority w:val="4"/>
    <w:rsid w:val="00122392"/>
    <w:rPr>
      <w:rFonts w:ascii="Arial" w:hAnsi="Arial"/>
      <w:b/>
      <w:color w:val="7D398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Heading2Char">
    <w:name w:val="Heading 2 Char"/>
    <w:locked/>
    <w:rsid w:val="00347BBC"/>
    <w:rPr>
      <w:rFonts w:ascii="Arial" w:eastAsia="MS Gothic" w:hAnsi="Arial"/>
      <w:b/>
      <w:color w:val="7D398D"/>
      <w:sz w:val="28"/>
      <w:lang w:val="x-none" w:eastAsia="en-US"/>
    </w:rPr>
  </w:style>
  <w:style w:type="paragraph" w:customStyle="1" w:styleId="DHSTableText">
    <w:name w:val="DHS Table Text"/>
    <w:rsid w:val="00347BBC"/>
    <w:pPr>
      <w:spacing w:before="80" w:after="60"/>
    </w:pPr>
    <w:rPr>
      <w:rFonts w:ascii="Arial"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alloonText">
    <w:name w:val="Balloon Text"/>
    <w:basedOn w:val="Normal"/>
    <w:link w:val="BalloonTextChar"/>
    <w:uiPriority w:val="99"/>
    <w:semiHidden/>
    <w:unhideWhenUsed/>
    <w:rsid w:val="00FB4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CF4"/>
    <w:rPr>
      <w:rFonts w:ascii="Segoe UI" w:hAnsi="Segoe UI" w:cs="Segoe UI"/>
      <w:sz w:val="18"/>
      <w:szCs w:val="18"/>
      <w:lang w:eastAsia="en-US"/>
    </w:rPr>
  </w:style>
  <w:style w:type="paragraph" w:customStyle="1" w:styleId="DHHStablecolhead">
    <w:name w:val="DHHS table col head"/>
    <w:uiPriority w:val="3"/>
    <w:qFormat/>
    <w:rsid w:val="00122392"/>
    <w:pPr>
      <w:spacing w:before="80" w:after="60"/>
    </w:pPr>
    <w:rPr>
      <w:rFonts w:ascii="Arial" w:hAnsi="Arial"/>
      <w:b/>
      <w:color w:val="7D398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91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pmanual@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10%20Purple%2076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10 Purple 7663.dot</Template>
  <TotalTime>3</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8339</CharactersWithSpaces>
  <SharedDoc>false</SharedDoc>
  <HyperlinkBase/>
  <HLinks>
    <vt:vector size="12" baseType="variant">
      <vt:variant>
        <vt:i4>7798833</vt:i4>
      </vt:variant>
      <vt:variant>
        <vt:i4>3</vt:i4>
      </vt:variant>
      <vt:variant>
        <vt:i4>0</vt:i4>
      </vt:variant>
      <vt:variant>
        <vt:i4>5</vt:i4>
      </vt:variant>
      <vt:variant>
        <vt:lpwstr>http://www.dhs.vic.gov.au/about-the-department/documents-and-resources/policies,-guidelines-and-legislation/changes-to-child-protection-law</vt:lpwstr>
      </vt:variant>
      <vt:variant>
        <vt:lpwstr/>
      </vt:variant>
      <vt:variant>
        <vt:i4>5963829</vt:i4>
      </vt:variant>
      <vt:variant>
        <vt:i4>0</vt:i4>
      </vt:variant>
      <vt:variant>
        <vt:i4>0</vt:i4>
      </vt:variant>
      <vt:variant>
        <vt:i4>5</vt:i4>
      </vt:variant>
      <vt:variant>
        <vt:lpwstr>mailto:cyfa.reforms@dhs.vic.gov.au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gell1108</dc:creator>
  <cp:keywords/>
  <cp:lastModifiedBy>Claire Whyte (DHHS)</cp:lastModifiedBy>
  <cp:revision>3</cp:revision>
  <cp:lastPrinted>2015-01-28T03:08:00Z</cp:lastPrinted>
  <dcterms:created xsi:type="dcterms:W3CDTF">2020-12-17T07:12:00Z</dcterms:created>
  <dcterms:modified xsi:type="dcterms:W3CDTF">2020-12-17T07:14:00Z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2020-12-07T04:00:48Z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0981fd31-2712-47c9-9032-e412ca62a099</vt:lpwstr>
  </property>
  <property fmtid="{D5CDD505-2E9C-101B-9397-08002B2CF9AE}" pid="9" name="MSIP_Label_efdf5488-3066-4b6c-8fea-9472b8a1f34c_ContentBits">
    <vt:lpwstr>0</vt:lpwstr>
  </property>
</Properties>
</file>